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9" w:rsidRDefault="00AF6579" w:rsidP="00AF6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Εκπαίδευση</w:t>
      </w:r>
    </w:p>
    <w:p w:rsidR="00FA4CE7" w:rsidRPr="00AF6579" w:rsidRDefault="00FA4CE7" w:rsidP="00AF6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79" w:rsidRPr="00985543" w:rsidRDefault="009464A6" w:rsidP="00985543">
      <w:pPr>
        <w:pStyle w:val="NormalWeb"/>
        <w:spacing w:before="0" w:beforeAutospacing="0" w:after="0" w:afterAutospacing="0" w:line="360" w:lineRule="auto"/>
        <w:jc w:val="both"/>
        <w:rPr>
          <w:lang w:val="el-GR"/>
        </w:rPr>
      </w:pPr>
      <w:r w:rsidRPr="00D46200">
        <w:rPr>
          <w:lang w:val="el-GR"/>
        </w:rPr>
        <w:t>Τ</w:t>
      </w:r>
      <w:r w:rsidR="00FA4CE7">
        <w:rPr>
          <w:lang w:val="el-GR"/>
        </w:rPr>
        <w:t>α</w:t>
      </w:r>
      <w:r w:rsidRPr="00D46200">
        <w:rPr>
          <w:lang w:val="el-GR"/>
        </w:rPr>
        <w:t xml:space="preserve"> ε</w:t>
      </w:r>
      <w:r w:rsidR="00FA4CE7">
        <w:rPr>
          <w:lang w:val="el-GR"/>
        </w:rPr>
        <w:t>παγγέλματα</w:t>
      </w:r>
      <w:r w:rsidRPr="00D46200">
        <w:rPr>
          <w:lang w:val="el-GR"/>
        </w:rPr>
        <w:t xml:space="preserve"> </w:t>
      </w:r>
      <w:r w:rsidR="00ED3E85">
        <w:rPr>
          <w:lang w:val="el-GR"/>
        </w:rPr>
        <w:t>που εντάσσονται στον κλάδο της εκπαίδευσης θεωρούνται</w:t>
      </w:r>
      <w:r w:rsidRPr="00D46200">
        <w:rPr>
          <w:lang w:val="el-GR"/>
        </w:rPr>
        <w:t xml:space="preserve"> ιδιαίτερα σημαντικ</w:t>
      </w:r>
      <w:r w:rsidR="00ED3E85">
        <w:rPr>
          <w:lang w:val="el-GR"/>
        </w:rPr>
        <w:t>ά</w:t>
      </w:r>
      <w:r w:rsidRPr="00D46200">
        <w:rPr>
          <w:lang w:val="el-GR"/>
        </w:rPr>
        <w:t xml:space="preserve"> καθώς συμβάλλ</w:t>
      </w:r>
      <w:r w:rsidR="00ED3E85">
        <w:rPr>
          <w:lang w:val="el-GR"/>
        </w:rPr>
        <w:t>ουν</w:t>
      </w:r>
      <w:r w:rsidRPr="00D46200">
        <w:rPr>
          <w:lang w:val="el-GR"/>
        </w:rPr>
        <w:t xml:space="preserve"> </w:t>
      </w:r>
      <w:r>
        <w:rPr>
          <w:lang w:val="el-GR"/>
        </w:rPr>
        <w:t xml:space="preserve">στις γνώσεις αλλά και </w:t>
      </w:r>
      <w:r w:rsidRPr="00D46200">
        <w:rPr>
          <w:lang w:val="el-GR"/>
        </w:rPr>
        <w:t xml:space="preserve">στη διαμόρφωση του </w:t>
      </w:r>
      <w:r w:rsidRPr="0084627A">
        <w:rPr>
          <w:lang w:val="el-GR"/>
        </w:rPr>
        <w:t xml:space="preserve">χαρακτήρα του </w:t>
      </w:r>
      <w:r w:rsidR="00ED3E85" w:rsidRPr="0084627A">
        <w:rPr>
          <w:lang w:val="el-GR"/>
        </w:rPr>
        <w:t xml:space="preserve">ατόμου </w:t>
      </w:r>
      <w:r w:rsidRPr="00F10A39">
        <w:rPr>
          <w:lang w:val="el-GR"/>
        </w:rPr>
        <w:t xml:space="preserve">συνοδεύοντας το ως την ενηλικίωση </w:t>
      </w:r>
      <w:r w:rsidR="00ED3E85" w:rsidRPr="00F10A39">
        <w:rPr>
          <w:lang w:val="el-GR"/>
        </w:rPr>
        <w:t>και μετέπειτα</w:t>
      </w:r>
      <w:r w:rsidRPr="00F10A39">
        <w:rPr>
          <w:lang w:val="el-GR"/>
        </w:rPr>
        <w:t xml:space="preserve">. </w:t>
      </w:r>
      <w:r w:rsidR="0084627A" w:rsidRPr="00F10A39">
        <w:rPr>
          <w:lang w:val="el-GR"/>
        </w:rPr>
        <w:t>Έτσι, ο κλάδος της εκπαίδευσης προσφέρει ένα μεγάλο εύρος δυνατοτήτ</w:t>
      </w:r>
      <w:r w:rsidR="00FE56DC" w:rsidRPr="00F10A39">
        <w:rPr>
          <w:lang w:val="el-GR"/>
        </w:rPr>
        <w:t xml:space="preserve">ων επαγγελματικής αποκατάστασης. Κατά την περίοδο της κρίσης </w:t>
      </w:r>
      <w:r w:rsidR="009A395E" w:rsidRPr="00F10A39">
        <w:rPr>
          <w:lang w:val="el-GR"/>
        </w:rPr>
        <w:t xml:space="preserve">και ιδιαίτερα στο ξέσπασμά της, </w:t>
      </w:r>
      <w:r w:rsidR="00FE56DC" w:rsidRPr="00F10A39">
        <w:rPr>
          <w:lang w:val="el-GR"/>
        </w:rPr>
        <w:t xml:space="preserve">σε μια προσπάθεια συρρίκνωσης του δημοσίου τομέα ο αριθμός </w:t>
      </w:r>
      <w:r w:rsidR="009A395E" w:rsidRPr="00F10A39">
        <w:rPr>
          <w:lang w:val="el-GR"/>
        </w:rPr>
        <w:t xml:space="preserve">αρκετών  </w:t>
      </w:r>
      <w:proofErr w:type="spellStart"/>
      <w:r w:rsidR="009A395E" w:rsidRPr="00F10A39">
        <w:rPr>
          <w:lang w:val="el-GR"/>
        </w:rPr>
        <w:t>απο</w:t>
      </w:r>
      <w:r w:rsidR="00FE56DC" w:rsidRPr="00F10A39">
        <w:rPr>
          <w:lang w:val="el-GR"/>
        </w:rPr>
        <w:t>ρροφούμενων</w:t>
      </w:r>
      <w:proofErr w:type="spellEnd"/>
      <w:r w:rsidR="00FE56DC" w:rsidRPr="00F10A39">
        <w:rPr>
          <w:lang w:val="el-GR"/>
        </w:rPr>
        <w:t xml:space="preserve"> εκπαιδευτικών μειώθηκε. </w:t>
      </w:r>
      <w:r w:rsidR="00AF6579" w:rsidRPr="00F10A39">
        <w:rPr>
          <w:lang w:val="el-GR"/>
        </w:rPr>
        <w:t xml:space="preserve">Ωστόσο </w:t>
      </w:r>
      <w:r w:rsidR="00FE56DC" w:rsidRPr="00F10A39">
        <w:rPr>
          <w:lang w:val="el-GR"/>
        </w:rPr>
        <w:t xml:space="preserve">υπό την προϋπόθεση μιας γενικότερης ανάκαμψης της οικονομίας και λόγω της φύσης του επαγγέλματος που το καθιστά αναγκαίο για την κοινωνία </w:t>
      </w:r>
      <w:proofErr w:type="spellStart"/>
      <w:r w:rsidR="00FE56DC" w:rsidRPr="00F10A39">
        <w:rPr>
          <w:lang w:val="el-GR"/>
        </w:rPr>
        <w:t>διαβλέπονται</w:t>
      </w:r>
      <w:proofErr w:type="spellEnd"/>
      <w:r w:rsidR="00FE56DC" w:rsidRPr="00F10A39">
        <w:rPr>
          <w:lang w:val="el-GR"/>
        </w:rPr>
        <w:t xml:space="preserve"> </w:t>
      </w:r>
      <w:r w:rsidR="00AF6579" w:rsidRPr="00F10A39">
        <w:rPr>
          <w:lang w:val="el-GR"/>
        </w:rPr>
        <w:t>μελλοντικές προοπτικές ανάκαμψης.</w:t>
      </w:r>
      <w:r w:rsidR="00AF6579" w:rsidRPr="00985543">
        <w:rPr>
          <w:lang w:val="el-GR"/>
        </w:rPr>
        <w:t xml:space="preserve"> </w:t>
      </w:r>
    </w:p>
    <w:p w:rsidR="00AF6579" w:rsidRDefault="00FE56DC" w:rsidP="00E940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Συνεπώς, β</w:t>
      </w:r>
      <w:r w:rsidR="00AF6579" w:rsidRPr="008110A0">
        <w:rPr>
          <w:rFonts w:ascii="Times New Roman" w:hAnsi="Times New Roman"/>
          <w:sz w:val="24"/>
          <w:szCs w:val="24"/>
        </w:rPr>
        <w:t xml:space="preserve">ασικό </w:t>
      </w:r>
      <w:r>
        <w:rPr>
          <w:rFonts w:ascii="Times New Roman" w:hAnsi="Times New Roman"/>
          <w:sz w:val="24"/>
          <w:szCs w:val="24"/>
        </w:rPr>
        <w:t xml:space="preserve">ζήτημα </w:t>
      </w:r>
      <w:r w:rsidR="00AF6579" w:rsidRPr="008110A0">
        <w:rPr>
          <w:rFonts w:ascii="Times New Roman" w:hAnsi="Times New Roman"/>
          <w:sz w:val="24"/>
          <w:szCs w:val="24"/>
        </w:rPr>
        <w:t xml:space="preserve">αφορά το πώς αναμένεται να μεταβληθεί η απασχόληση στον κλάδο της </w:t>
      </w:r>
      <w:r w:rsidR="00666486">
        <w:rPr>
          <w:rFonts w:ascii="Times New Roman" w:hAnsi="Times New Roman"/>
          <w:sz w:val="24"/>
          <w:szCs w:val="24"/>
        </w:rPr>
        <w:t>εκπαίδευσης</w:t>
      </w:r>
      <w:r w:rsidR="00AF6579" w:rsidRPr="008110A0">
        <w:rPr>
          <w:rFonts w:ascii="Times New Roman" w:hAnsi="Times New Roman"/>
          <w:sz w:val="24"/>
          <w:szCs w:val="24"/>
        </w:rPr>
        <w:t xml:space="preserve"> στην ελληνική οικονομία μέχρι το 2020.</w:t>
      </w:r>
      <w:r w:rsidR="00E94088">
        <w:rPr>
          <w:rFonts w:ascii="Times New Roman" w:hAnsi="Times New Roman"/>
          <w:sz w:val="24"/>
          <w:szCs w:val="24"/>
        </w:rPr>
        <w:t xml:space="preserve"> </w:t>
      </w:r>
      <w:r w:rsidR="00AF6579" w:rsidRPr="004A3CCE">
        <w:rPr>
          <w:rFonts w:ascii="Times New Roman" w:hAnsi="Times New Roman"/>
          <w:sz w:val="24"/>
          <w:szCs w:val="24"/>
        </w:rPr>
        <w:t xml:space="preserve">Ενδεικτικά είναι τα αποτελέσματα για την εξέλιξη βασικών επαγγελμάτων του κλάδου της </w:t>
      </w:r>
      <w:r w:rsidR="00666486" w:rsidRPr="004A3CCE">
        <w:rPr>
          <w:rFonts w:ascii="Times New Roman" w:hAnsi="Times New Roman"/>
          <w:sz w:val="24"/>
          <w:szCs w:val="24"/>
        </w:rPr>
        <w:t>εκπαίδευσης</w:t>
      </w:r>
      <w:r w:rsidR="00AF6579" w:rsidRPr="004A3CCE">
        <w:rPr>
          <w:rFonts w:ascii="Times New Roman" w:hAnsi="Times New Roman"/>
          <w:sz w:val="24"/>
          <w:szCs w:val="24"/>
        </w:rPr>
        <w:t xml:space="preserve"> στον Πίνακα 1.</w:t>
      </w:r>
    </w:p>
    <w:p w:rsidR="00AF6579" w:rsidRPr="00D46200" w:rsidRDefault="00AF6579" w:rsidP="00AF65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579" w:rsidRPr="00E94088" w:rsidRDefault="00FE56DC" w:rsidP="00AF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10A0">
        <w:rPr>
          <w:rFonts w:ascii="Times New Roman" w:hAnsi="Times New Roman"/>
          <w:b/>
          <w:sz w:val="24"/>
          <w:szCs w:val="24"/>
        </w:rPr>
        <w:t>Πίνακας 1.</w:t>
      </w:r>
      <w:r w:rsidRPr="008110A0">
        <w:rPr>
          <w:rFonts w:ascii="Times New Roman" w:hAnsi="Times New Roman"/>
          <w:sz w:val="24"/>
          <w:szCs w:val="24"/>
        </w:rPr>
        <w:t xml:space="preserve"> Εξέλιξη στην απασχόληση βασικών επαγγελμάτων του κλάδου της </w:t>
      </w:r>
      <w:r w:rsidR="00E94088">
        <w:rPr>
          <w:rFonts w:ascii="Times New Roman" w:hAnsi="Times New Roman"/>
          <w:sz w:val="24"/>
          <w:szCs w:val="24"/>
        </w:rPr>
        <w:t xml:space="preserve">εκπαίδευσης </w:t>
      </w:r>
      <w:r w:rsidR="00E94088" w:rsidRPr="00D46200">
        <w:rPr>
          <w:rFonts w:ascii="Times New Roman" w:hAnsi="Times New Roman"/>
          <w:sz w:val="24"/>
          <w:szCs w:val="24"/>
        </w:rPr>
        <w:t>μέχρι το 2020</w:t>
      </w:r>
    </w:p>
    <w:tbl>
      <w:tblPr>
        <w:tblW w:w="8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D42E4C" w:rsidRPr="00E94088" w:rsidTr="00D42E4C">
        <w:trPr>
          <w:trHeight w:val="240"/>
        </w:trPr>
        <w:tc>
          <w:tcPr>
            <w:tcW w:w="2321" w:type="dxa"/>
            <w:vMerge w:val="restart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2012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2013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2014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2015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2016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2017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2018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2020</w:t>
            </w:r>
          </w:p>
        </w:tc>
      </w:tr>
      <w:tr w:rsidR="00D42E4C" w:rsidRPr="00E94088" w:rsidTr="00FA4CE7">
        <w:trPr>
          <w:trHeight w:val="207"/>
        </w:trPr>
        <w:tc>
          <w:tcPr>
            <w:tcW w:w="232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D42E4C" w:rsidRPr="00E94088" w:rsidTr="00D42E4C">
        <w:trPr>
          <w:trHeight w:val="345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Παιδοκόμοι και βοηθοί δασκάλων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9.518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9.384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9.645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10.187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10.585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11.048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11.917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12.429</w:t>
            </w:r>
          </w:p>
        </w:tc>
      </w:tr>
      <w:tr w:rsidR="00D42E4C" w:rsidRPr="00E94088" w:rsidTr="00D42E4C">
        <w:trPr>
          <w:trHeight w:val="570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Δάσκαλοι πρωτοβάθμιας εκπαίδευσης και νηπιαγωγοί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80.692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80.038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77.528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77.861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77.422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78.023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78.610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78.951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79.958</w:t>
            </w:r>
          </w:p>
        </w:tc>
      </w:tr>
      <w:tr w:rsidR="00D42E4C" w:rsidRPr="00E94088" w:rsidTr="00D42E4C">
        <w:trPr>
          <w:trHeight w:val="555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Καθηγητές δευτεροβάθμιας εκπαίδευσης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96.132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95.329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92.149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92.380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91.708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92.296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92.861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93.139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94.202</w:t>
            </w:r>
          </w:p>
        </w:tc>
      </w:tr>
      <w:tr w:rsidR="00D42E4C" w:rsidRPr="00E94088" w:rsidTr="00D42E4C">
        <w:trPr>
          <w:trHeight w:val="510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Διδακτικό προσωπικό ανώτατων εκπαιδευτικών ιδρυμάτων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14.307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14.175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13.711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13.754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13.664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13.759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13.847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13.894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14.057</w:t>
            </w:r>
          </w:p>
        </w:tc>
      </w:tr>
      <w:tr w:rsidR="00D42E4C" w:rsidRPr="00E94088" w:rsidTr="00D42E4C">
        <w:trPr>
          <w:trHeight w:val="525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Καθηγητές επαγγελματικής εκπαίδευσης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11.216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10.846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10.881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10.807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10.881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10.952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10.989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11.118</w:t>
            </w:r>
          </w:p>
        </w:tc>
      </w:tr>
      <w:tr w:rsidR="00D42E4C" w:rsidRPr="00E94088" w:rsidTr="00D42E4C">
        <w:trPr>
          <w:trHeight w:val="299"/>
        </w:trPr>
        <w:tc>
          <w:tcPr>
            <w:tcW w:w="2321" w:type="dxa"/>
            <w:shd w:val="clear" w:color="auto" w:fill="auto"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l-GR"/>
              </w:rPr>
              <w:t>Άλλοι εκπαιδευτικοί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51.718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51.236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49.739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50.057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49.863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50.320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50.764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51.048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2E4C" w:rsidRPr="00E94088" w:rsidRDefault="00D42E4C" w:rsidP="00E9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E940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51.760</w:t>
            </w:r>
          </w:p>
        </w:tc>
      </w:tr>
    </w:tbl>
    <w:p w:rsidR="00AF6579" w:rsidRPr="008E05E3" w:rsidRDefault="00AF6579" w:rsidP="00AF6579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FE1C3C">
        <w:rPr>
          <w:rFonts w:ascii="Times New Roman" w:hAnsi="Times New Roman"/>
          <w:b/>
          <w:sz w:val="18"/>
          <w:szCs w:val="18"/>
        </w:rPr>
        <w:t>Πηγή</w:t>
      </w:r>
      <w:r w:rsidRPr="00FE1C3C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Pr="00FE1C3C">
        <w:rPr>
          <w:rFonts w:ascii="Times New Roman" w:hAnsi="Times New Roman"/>
          <w:sz w:val="18"/>
          <w:szCs w:val="18"/>
          <w:lang w:val="en-US"/>
        </w:rPr>
        <w:t>Petrakis P.E. (Ed.) (2014)</w:t>
      </w:r>
      <w:r w:rsidRPr="00FE1C3C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gramStart"/>
      <w:r w:rsidRPr="00FE1C3C">
        <w:rPr>
          <w:rFonts w:ascii="Times New Roman" w:hAnsi="Times New Roman"/>
          <w:sz w:val="18"/>
          <w:szCs w:val="18"/>
          <w:lang w:val="en-US"/>
        </w:rPr>
        <w:t>The</w:t>
      </w:r>
      <w:proofErr w:type="gramEnd"/>
      <w:r w:rsidRPr="00FE1C3C">
        <w:rPr>
          <w:rFonts w:ascii="Times New Roman" w:hAnsi="Times New Roman"/>
          <w:sz w:val="18"/>
          <w:szCs w:val="18"/>
          <w:lang w:val="en-US"/>
        </w:rPr>
        <w:t xml:space="preserve"> Rebirth of the Greek Labor Market. </w:t>
      </w:r>
      <w:proofErr w:type="gramStart"/>
      <w:r w:rsidRPr="00FE1C3C">
        <w:rPr>
          <w:rFonts w:ascii="Times New Roman" w:hAnsi="Times New Roman"/>
          <w:sz w:val="18"/>
          <w:szCs w:val="18"/>
          <w:lang w:val="en-US"/>
        </w:rPr>
        <w:t>Building Toward 2020.</w:t>
      </w:r>
      <w:proofErr w:type="gramEnd"/>
      <w:r w:rsidRPr="00FE1C3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FE1C3C">
        <w:rPr>
          <w:rFonts w:ascii="Times New Roman" w:hAnsi="Times New Roman"/>
          <w:sz w:val="18"/>
          <w:szCs w:val="18"/>
          <w:lang w:val="en-US"/>
        </w:rPr>
        <w:t>After the Global Financial Meltdown, Palgrave McMillan.</w:t>
      </w:r>
      <w:proofErr w:type="gramEnd"/>
      <w:r w:rsidR="00F10A39" w:rsidRPr="008E05E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10A39">
        <w:rPr>
          <w:rFonts w:ascii="Times New Roman" w:hAnsi="Times New Roman"/>
          <w:sz w:val="18"/>
          <w:szCs w:val="18"/>
        </w:rPr>
        <w:t>Γ</w:t>
      </w:r>
      <w:r w:rsidR="00F10A39" w:rsidRPr="005074B4">
        <w:rPr>
          <w:rFonts w:ascii="Times New Roman" w:hAnsi="Times New Roman"/>
          <w:sz w:val="18"/>
          <w:szCs w:val="18"/>
          <w:lang w:val="en-US"/>
        </w:rPr>
        <w:t>ια π</w:t>
      </w:r>
      <w:proofErr w:type="spellStart"/>
      <w:r w:rsidR="00F10A39" w:rsidRPr="005074B4">
        <w:rPr>
          <w:rFonts w:ascii="Times New Roman" w:hAnsi="Times New Roman"/>
          <w:sz w:val="18"/>
          <w:szCs w:val="18"/>
          <w:lang w:val="en-US"/>
        </w:rPr>
        <w:t>ερισσότερες</w:t>
      </w:r>
      <w:proofErr w:type="spellEnd"/>
      <w:r w:rsidR="00F10A39" w:rsidRPr="005074B4">
        <w:rPr>
          <w:rFonts w:ascii="Times New Roman" w:hAnsi="Times New Roman"/>
          <w:sz w:val="18"/>
          <w:szCs w:val="18"/>
          <w:lang w:val="en-US"/>
        </w:rPr>
        <w:t xml:space="preserve"> π</w:t>
      </w:r>
      <w:proofErr w:type="spellStart"/>
      <w:r w:rsidR="00F10A39" w:rsidRPr="005074B4">
        <w:rPr>
          <w:rFonts w:ascii="Times New Roman" w:hAnsi="Times New Roman"/>
          <w:sz w:val="18"/>
          <w:szCs w:val="18"/>
          <w:lang w:val="en-US"/>
        </w:rPr>
        <w:t>ληροφορίες</w:t>
      </w:r>
      <w:proofErr w:type="spellEnd"/>
      <w:r w:rsidR="00F10A39" w:rsidRPr="005074B4">
        <w:rPr>
          <w:rFonts w:ascii="Times New Roman" w:hAnsi="Times New Roman"/>
          <w:sz w:val="18"/>
          <w:szCs w:val="18"/>
          <w:lang w:val="en-US"/>
        </w:rPr>
        <w:t xml:space="preserve"> πα</w:t>
      </w:r>
      <w:proofErr w:type="spellStart"/>
      <w:r w:rsidR="00F10A39" w:rsidRPr="005074B4">
        <w:rPr>
          <w:rFonts w:ascii="Times New Roman" w:hAnsi="Times New Roman"/>
          <w:sz w:val="18"/>
          <w:szCs w:val="18"/>
          <w:lang w:val="en-US"/>
        </w:rPr>
        <w:t>τήστε</w:t>
      </w:r>
      <w:proofErr w:type="spellEnd"/>
      <w:r w:rsidR="00F10A39" w:rsidRPr="005074B4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5" w:history="1">
        <w:proofErr w:type="spellStart"/>
        <w:r w:rsidR="00F10A39" w:rsidRPr="00C72A31">
          <w:rPr>
            <w:rStyle w:val="Hyperlink"/>
            <w:rFonts w:ascii="Times New Roman" w:hAnsi="Times New Roman"/>
            <w:sz w:val="18"/>
            <w:szCs w:val="18"/>
            <w:lang w:val="en-US"/>
          </w:rPr>
          <w:t>εδώ</w:t>
        </w:r>
        <w:proofErr w:type="spellEnd"/>
      </w:hyperlink>
      <w:r w:rsidR="00F10A39" w:rsidRPr="00EA3795">
        <w:rPr>
          <w:rFonts w:ascii="Times New Roman" w:hAnsi="Times New Roman"/>
          <w:sz w:val="18"/>
          <w:szCs w:val="18"/>
          <w:lang w:val="en-US"/>
        </w:rPr>
        <w:t>.</w:t>
      </w:r>
    </w:p>
    <w:p w:rsidR="006B0E5B" w:rsidRPr="00FA4CE7" w:rsidRDefault="006B0E5B" w:rsidP="009639B3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:rsidR="009639B3" w:rsidRDefault="001B296D" w:rsidP="006B0E5B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l-GR"/>
        </w:rPr>
      </w:pPr>
      <w:r w:rsidRPr="00D42E4C">
        <w:rPr>
          <w:rFonts w:eastAsia="Calibri"/>
          <w:lang w:val="el-GR"/>
        </w:rPr>
        <w:t>Οι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προοπτικές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απασχόλησης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των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παιδοκόμων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και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των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βοηθών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δασκάλων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αναμένονται</w:t>
      </w:r>
      <w:r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θετικές</w:t>
      </w:r>
      <w:r w:rsidRPr="008E05E3">
        <w:rPr>
          <w:rFonts w:eastAsia="Calibri"/>
          <w:lang w:val="el-GR"/>
        </w:rPr>
        <w:t>.</w:t>
      </w:r>
      <w:r w:rsidR="000F1092" w:rsidRPr="008E05E3">
        <w:rPr>
          <w:rFonts w:eastAsia="Calibri"/>
          <w:lang w:val="el-GR"/>
        </w:rPr>
        <w:t xml:space="preserve"> </w:t>
      </w:r>
      <w:r w:rsidRPr="00D42E4C">
        <w:rPr>
          <w:rFonts w:eastAsia="Calibri"/>
          <w:lang w:val="el-GR"/>
        </w:rPr>
        <w:t>Συγκεκριμένα, αναμένουμε αύξηση της απασχόλησης μέχρι το 2020, με τους απασχολουμένους να ανέρχονται στους 1</w:t>
      </w:r>
      <w:r w:rsidR="000F1092" w:rsidRPr="00D42E4C">
        <w:rPr>
          <w:rFonts w:eastAsia="Calibri"/>
          <w:lang w:val="el-GR"/>
        </w:rPr>
        <w:t>2.429 έναντι 9.518</w:t>
      </w:r>
      <w:r w:rsidRPr="00D42E4C">
        <w:rPr>
          <w:rFonts w:eastAsia="Calibri"/>
          <w:lang w:val="el-GR"/>
        </w:rPr>
        <w:t xml:space="preserve"> το 2012.</w:t>
      </w:r>
      <w:r w:rsidR="000F1092" w:rsidRPr="00D42E4C">
        <w:rPr>
          <w:rFonts w:eastAsia="Calibri"/>
          <w:lang w:val="el-GR"/>
        </w:rPr>
        <w:t xml:space="preserve"> </w:t>
      </w:r>
      <w:r w:rsidR="00AF6579" w:rsidRPr="009639B3">
        <w:rPr>
          <w:lang w:val="el-GR"/>
        </w:rPr>
        <w:t xml:space="preserve">Ο </w:t>
      </w:r>
      <w:r w:rsidR="00AF6579" w:rsidRPr="009639B3">
        <w:rPr>
          <w:lang w:val="el-GR"/>
        </w:rPr>
        <w:lastRenderedPageBreak/>
        <w:t xml:space="preserve">αριθμός των δασκάλων </w:t>
      </w:r>
      <w:r w:rsidR="000F1092" w:rsidRPr="009639B3">
        <w:rPr>
          <w:lang w:val="el-GR"/>
        </w:rPr>
        <w:t xml:space="preserve">πρωτοβάθμιας εκπαίδευσης </w:t>
      </w:r>
      <w:r w:rsidR="00AF6579" w:rsidRPr="009639B3">
        <w:rPr>
          <w:lang w:val="el-GR"/>
        </w:rPr>
        <w:t xml:space="preserve">και </w:t>
      </w:r>
      <w:r w:rsidR="000F1092" w:rsidRPr="009639B3">
        <w:rPr>
          <w:lang w:val="el-GR"/>
        </w:rPr>
        <w:t xml:space="preserve">των </w:t>
      </w:r>
      <w:r w:rsidR="00AF6579" w:rsidRPr="009639B3">
        <w:rPr>
          <w:lang w:val="el-GR"/>
        </w:rPr>
        <w:t>νηπιαγωγών</w:t>
      </w:r>
      <w:r w:rsidR="000F1092" w:rsidRPr="009639B3">
        <w:rPr>
          <w:lang w:val="el-GR"/>
        </w:rPr>
        <w:t xml:space="preserve"> στην Ελλάδα </w:t>
      </w:r>
      <w:r w:rsidR="00AF6579" w:rsidRPr="009639B3">
        <w:rPr>
          <w:lang w:val="el-GR"/>
        </w:rPr>
        <w:t xml:space="preserve">αναμένεται να αυξηθεί κατά </w:t>
      </w:r>
      <w:r w:rsidR="009639B3" w:rsidRPr="009639B3">
        <w:rPr>
          <w:lang w:val="el-GR"/>
        </w:rPr>
        <w:t>3</w:t>
      </w:r>
      <w:r w:rsidR="00AF6579" w:rsidRPr="009639B3">
        <w:rPr>
          <w:lang w:val="el-GR"/>
        </w:rPr>
        <w:t xml:space="preserve">% </w:t>
      </w:r>
      <w:r w:rsidR="009639B3" w:rsidRPr="009639B3">
        <w:rPr>
          <w:lang w:val="el-GR"/>
        </w:rPr>
        <w:t xml:space="preserve">από το 2015 έως το 2020 αν και τη συνολικά εξεταζόμενη περίοδο 2012- 2020 </w:t>
      </w:r>
      <w:r w:rsidR="00AF6579" w:rsidRPr="009639B3">
        <w:rPr>
          <w:lang w:val="el-GR"/>
        </w:rPr>
        <w:t xml:space="preserve">παρατηρείται μείωση του αριθμού τους κατά </w:t>
      </w:r>
      <w:r w:rsidR="009639B3" w:rsidRPr="009639B3">
        <w:rPr>
          <w:lang w:val="el-GR"/>
        </w:rPr>
        <w:t>1%</w:t>
      </w:r>
      <w:r w:rsidR="00AF6579" w:rsidRPr="009639B3">
        <w:rPr>
          <w:lang w:val="el-GR"/>
        </w:rPr>
        <w:t xml:space="preserve">. </w:t>
      </w:r>
    </w:p>
    <w:p w:rsidR="00A57946" w:rsidRDefault="00A57946" w:rsidP="009639B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l-GR"/>
        </w:rPr>
      </w:pPr>
      <w:r>
        <w:rPr>
          <w:lang w:val="el-GR"/>
        </w:rPr>
        <w:t>Η</w:t>
      </w:r>
      <w:r w:rsidRPr="00A57946">
        <w:rPr>
          <w:lang w:val="el-GR"/>
        </w:rPr>
        <w:t xml:space="preserve"> ζήτηση για καθηγητές δευτεροβάθμιας εκπαίδευσης αναμένεται να σημειώσει </w:t>
      </w:r>
      <w:r w:rsidR="009639B3">
        <w:rPr>
          <w:lang w:val="el-GR"/>
        </w:rPr>
        <w:t>μείωση</w:t>
      </w:r>
      <w:r w:rsidRPr="00A57946">
        <w:rPr>
          <w:lang w:val="el-GR"/>
        </w:rPr>
        <w:t xml:space="preserve"> </w:t>
      </w:r>
      <w:r w:rsidR="009639B3">
        <w:rPr>
          <w:lang w:val="el-GR"/>
        </w:rPr>
        <w:t>2</w:t>
      </w:r>
      <w:r w:rsidRPr="00A57946">
        <w:rPr>
          <w:lang w:val="el-GR"/>
        </w:rPr>
        <w:t xml:space="preserve">% το </w:t>
      </w:r>
      <w:r w:rsidR="00926CCC">
        <w:rPr>
          <w:lang w:val="el-GR"/>
        </w:rPr>
        <w:t>χρονικό διάστημα 2012-2020. Ω</w:t>
      </w:r>
      <w:r w:rsidR="009639B3">
        <w:rPr>
          <w:lang w:val="el-GR"/>
        </w:rPr>
        <w:t>στόσο, ο αριθμός τους φαίνεται να σημειώ</w:t>
      </w:r>
      <w:r w:rsidR="008E05E3">
        <w:rPr>
          <w:lang w:val="el-GR"/>
        </w:rPr>
        <w:t>ν</w:t>
      </w:r>
      <w:r w:rsidR="009639B3">
        <w:rPr>
          <w:lang w:val="el-GR"/>
        </w:rPr>
        <w:t xml:space="preserve">ει αύξηση κατά </w:t>
      </w:r>
      <w:r w:rsidR="00626E11">
        <w:rPr>
          <w:lang w:val="el-GR"/>
        </w:rPr>
        <w:t>το ίδιο ποσοστό το διάστημα 2015-2020</w:t>
      </w:r>
      <w:r w:rsidRPr="00A57946">
        <w:rPr>
          <w:lang w:val="el-GR"/>
        </w:rPr>
        <w:t>. Συγκεκριμένα</w:t>
      </w:r>
      <w:r w:rsidR="00926CCC">
        <w:rPr>
          <w:lang w:val="el-GR"/>
        </w:rPr>
        <w:t>,</w:t>
      </w:r>
      <w:r w:rsidRPr="00A57946">
        <w:rPr>
          <w:lang w:val="el-GR"/>
        </w:rPr>
        <w:t xml:space="preserve"> από 9</w:t>
      </w:r>
      <w:r w:rsidR="00626E11">
        <w:rPr>
          <w:lang w:val="el-GR"/>
        </w:rPr>
        <w:t>2</w:t>
      </w:r>
      <w:r w:rsidRPr="00A57946">
        <w:rPr>
          <w:lang w:val="el-GR"/>
        </w:rPr>
        <w:t>.3</w:t>
      </w:r>
      <w:r w:rsidR="00626E11">
        <w:rPr>
          <w:lang w:val="el-GR"/>
        </w:rPr>
        <w:t>80</w:t>
      </w:r>
      <w:r w:rsidRPr="00A57946">
        <w:rPr>
          <w:lang w:val="el-GR"/>
        </w:rPr>
        <w:t xml:space="preserve"> καθηγητές το 2012, η δευτεροβάθμια εκπαίδευση θα χρειασθεί 9</w:t>
      </w:r>
      <w:r w:rsidR="00626E11">
        <w:rPr>
          <w:lang w:val="el-GR"/>
        </w:rPr>
        <w:t>4.202</w:t>
      </w:r>
      <w:r w:rsidRPr="00A57946">
        <w:rPr>
          <w:lang w:val="el-GR"/>
        </w:rPr>
        <w:t xml:space="preserve"> καθηγητές το 2020.</w:t>
      </w:r>
      <w:r w:rsidR="00812D73">
        <w:rPr>
          <w:lang w:val="el-GR"/>
        </w:rPr>
        <w:t xml:space="preserve"> Αντίστοιχη είναι και η κατάσταση αναφορικά με το διδακτικό προσωπικό των ανώτατων εκπαιδευτικών ιδρυμάτων</w:t>
      </w:r>
      <w:r w:rsidR="006B0E5B">
        <w:rPr>
          <w:lang w:val="el-GR"/>
        </w:rPr>
        <w:t xml:space="preserve"> και τους καθηγητές επαγγελματικής εκπαίδευσης</w:t>
      </w:r>
      <w:r w:rsidR="00812D73">
        <w:rPr>
          <w:lang w:val="el-GR"/>
        </w:rPr>
        <w:t xml:space="preserve">, </w:t>
      </w:r>
      <w:r w:rsidR="006B0E5B">
        <w:rPr>
          <w:lang w:val="el-GR"/>
        </w:rPr>
        <w:t>όπου και οι δύο</w:t>
      </w:r>
      <w:r w:rsidR="00812D73">
        <w:rPr>
          <w:lang w:val="el-GR"/>
        </w:rPr>
        <w:t xml:space="preserve"> </w:t>
      </w:r>
      <w:r w:rsidR="006B0E5B">
        <w:rPr>
          <w:lang w:val="el-GR"/>
        </w:rPr>
        <w:t>κατηγορίες εκπαιδευτικών</w:t>
      </w:r>
      <w:r w:rsidR="00812D73">
        <w:rPr>
          <w:lang w:val="el-GR"/>
        </w:rPr>
        <w:t xml:space="preserve"> παρουσιάζουν αύξηση 3% το διάστημα 2016-2020.</w:t>
      </w:r>
    </w:p>
    <w:p w:rsidR="006B0E5B" w:rsidRPr="006B0E5B" w:rsidRDefault="006B0E5B" w:rsidP="009639B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Τέλος, οι υπόλοιποι εκπαιδευτικοί του κλάδου καταγράφουν θετικές προοπτικές καθώς η απασχόληση τους αναμένεται να αυξηθεί κατά 4% (2016-2020) δηλαδή από </w:t>
      </w:r>
      <w:r w:rsidRPr="006B0E5B">
        <w:rPr>
          <w:lang w:val="el-GR"/>
        </w:rPr>
        <w:t>49.863 εκπαιδευτικούς το 2016 θα ζητηθούν 51.760 το 2020.</w:t>
      </w:r>
      <w:r>
        <w:rPr>
          <w:lang w:val="el-GR"/>
        </w:rPr>
        <w:t xml:space="preserve"> </w:t>
      </w:r>
    </w:p>
    <w:sectPr w:rsidR="006B0E5B" w:rsidRPr="006B0E5B" w:rsidSect="00946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9"/>
    <w:rsid w:val="000F1092"/>
    <w:rsid w:val="001B296D"/>
    <w:rsid w:val="00294B87"/>
    <w:rsid w:val="003C6E00"/>
    <w:rsid w:val="004A3CCE"/>
    <w:rsid w:val="00626E11"/>
    <w:rsid w:val="00666486"/>
    <w:rsid w:val="006B0E5B"/>
    <w:rsid w:val="007420B3"/>
    <w:rsid w:val="00812D73"/>
    <w:rsid w:val="0084627A"/>
    <w:rsid w:val="008A3900"/>
    <w:rsid w:val="008E05E3"/>
    <w:rsid w:val="00926CCC"/>
    <w:rsid w:val="009464A6"/>
    <w:rsid w:val="009639B3"/>
    <w:rsid w:val="00985543"/>
    <w:rsid w:val="009A395E"/>
    <w:rsid w:val="00A57946"/>
    <w:rsid w:val="00AA0E06"/>
    <w:rsid w:val="00AF6579"/>
    <w:rsid w:val="00B63CD2"/>
    <w:rsid w:val="00BF2F1E"/>
    <w:rsid w:val="00C72A31"/>
    <w:rsid w:val="00D42E4C"/>
    <w:rsid w:val="00E94088"/>
    <w:rsid w:val="00ED3E85"/>
    <w:rsid w:val="00F10A39"/>
    <w:rsid w:val="00F13A6B"/>
    <w:rsid w:val="00FA4CE7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eepanalysis.gr/prooptikes-apasxolishs-sthn-ellhnikh-oikonomia-mexri-to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Lida</cp:lastModifiedBy>
  <cp:revision>2</cp:revision>
  <dcterms:created xsi:type="dcterms:W3CDTF">2016-03-09T12:39:00Z</dcterms:created>
  <dcterms:modified xsi:type="dcterms:W3CDTF">2016-03-09T12:39:00Z</dcterms:modified>
</cp:coreProperties>
</file>