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D5" w:rsidRDefault="006052A9" w:rsidP="00343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Επαγγέλματα </w:t>
      </w:r>
      <w:r w:rsidR="00B97E45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</w:rPr>
        <w:t>Περιβάλλοντος</w:t>
      </w:r>
    </w:p>
    <w:p w:rsidR="001C26A1" w:rsidRPr="001F00E0" w:rsidRDefault="001C26A1" w:rsidP="001F0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85" w:rsidRDefault="00262C5D" w:rsidP="00380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επαγγέλματα </w:t>
      </w:r>
      <w:r w:rsidR="00380985">
        <w:rPr>
          <w:rFonts w:ascii="Times New Roman" w:hAnsi="Times New Roman" w:cs="Times New Roman"/>
          <w:sz w:val="24"/>
          <w:szCs w:val="24"/>
        </w:rPr>
        <w:t>που σχετίζονται με το περιβάλλον προσφέρουν</w:t>
      </w:r>
      <w:r w:rsidR="001F00E0" w:rsidRPr="008110A0">
        <w:rPr>
          <w:rFonts w:ascii="Times New Roman" w:hAnsi="Times New Roman" w:cs="Times New Roman"/>
          <w:sz w:val="24"/>
          <w:szCs w:val="24"/>
        </w:rPr>
        <w:t xml:space="preserve"> ένα μεγάλο εύρος δυνατοτήτων επαγγελματικής αποκατάστασης</w:t>
      </w:r>
      <w:r w:rsidR="000A6886">
        <w:rPr>
          <w:rFonts w:ascii="Times New Roman" w:hAnsi="Times New Roman" w:cs="Times New Roman"/>
          <w:sz w:val="24"/>
          <w:szCs w:val="24"/>
        </w:rPr>
        <w:t xml:space="preserve"> με επίκεντρο τα </w:t>
      </w:r>
      <w:r w:rsidR="00380985">
        <w:rPr>
          <w:rFonts w:ascii="Times New Roman" w:hAnsi="Times New Roman" w:cs="Times New Roman"/>
          <w:sz w:val="24"/>
          <w:szCs w:val="24"/>
        </w:rPr>
        <w:t>«πράσινα επαγγέλματα»</w:t>
      </w:r>
      <w:r w:rsidR="001F00E0" w:rsidRPr="008110A0">
        <w:rPr>
          <w:rFonts w:ascii="Times New Roman" w:hAnsi="Times New Roman" w:cs="Times New Roman"/>
          <w:sz w:val="24"/>
          <w:szCs w:val="24"/>
        </w:rPr>
        <w:t xml:space="preserve">. </w:t>
      </w:r>
      <w:r w:rsidR="000A6886">
        <w:rPr>
          <w:rFonts w:ascii="Times New Roman" w:hAnsi="Times New Roman" w:cs="Times New Roman"/>
          <w:sz w:val="24"/>
          <w:szCs w:val="24"/>
        </w:rPr>
        <w:t>Το φάσμα της απασχόλησης γύρω από τα επαγγέλματα του περιβάλλοντος είναι αρκετά διευρυμένο καλύπτοντας πολλές ειδικότητες από όλο το φάσμα της οικονομίας.</w:t>
      </w:r>
    </w:p>
    <w:p w:rsidR="001F00E0" w:rsidRDefault="001F00E0" w:rsidP="005E3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A0">
        <w:rPr>
          <w:rFonts w:ascii="Times New Roman" w:hAnsi="Times New Roman" w:cs="Times New Roman"/>
          <w:sz w:val="24"/>
          <w:szCs w:val="24"/>
        </w:rPr>
        <w:t xml:space="preserve">Το βασικό ερώτημα όμως, που αφορά το μέλλον, είναι το πώς αναμένεται να μεταβληθεί η απασχόληση </w:t>
      </w:r>
      <w:r w:rsidR="00380985">
        <w:rPr>
          <w:rFonts w:ascii="Times New Roman" w:hAnsi="Times New Roman" w:cs="Times New Roman"/>
          <w:sz w:val="24"/>
          <w:szCs w:val="24"/>
        </w:rPr>
        <w:t xml:space="preserve">στα επαγγέλματα γύρω από τον </w:t>
      </w:r>
      <w:r w:rsidR="006D70E1">
        <w:rPr>
          <w:rFonts w:ascii="Times New Roman" w:hAnsi="Times New Roman" w:cs="Times New Roman"/>
          <w:sz w:val="24"/>
          <w:szCs w:val="24"/>
        </w:rPr>
        <w:t>κλάδο</w:t>
      </w:r>
      <w:r w:rsidR="00380985">
        <w:rPr>
          <w:rFonts w:ascii="Times New Roman" w:hAnsi="Times New Roman" w:cs="Times New Roman"/>
          <w:sz w:val="24"/>
          <w:szCs w:val="24"/>
        </w:rPr>
        <w:t xml:space="preserve"> του περιβάλλοντος</w:t>
      </w:r>
      <w:r w:rsidRPr="008110A0">
        <w:rPr>
          <w:rFonts w:ascii="Times New Roman" w:hAnsi="Times New Roman" w:cs="Times New Roman"/>
          <w:sz w:val="24"/>
          <w:szCs w:val="24"/>
        </w:rPr>
        <w:t xml:space="preserve"> μέχρι το 2020.</w:t>
      </w:r>
      <w:r w:rsidR="005E3663">
        <w:rPr>
          <w:rFonts w:ascii="Times New Roman" w:hAnsi="Times New Roman" w:cs="Times New Roman"/>
          <w:sz w:val="24"/>
          <w:szCs w:val="24"/>
        </w:rPr>
        <w:t xml:space="preserve"> </w:t>
      </w:r>
      <w:r w:rsidRPr="008110A0">
        <w:rPr>
          <w:rFonts w:ascii="Times New Roman" w:hAnsi="Times New Roman" w:cs="Times New Roman"/>
          <w:sz w:val="24"/>
          <w:szCs w:val="24"/>
        </w:rPr>
        <w:t xml:space="preserve">Ενδεικτικά είναι τα αποτελέσματα για την εξέλιξη </w:t>
      </w:r>
      <w:r w:rsidR="006052A9">
        <w:rPr>
          <w:rFonts w:ascii="Times New Roman" w:hAnsi="Times New Roman" w:cs="Times New Roman"/>
          <w:sz w:val="24"/>
          <w:szCs w:val="24"/>
        </w:rPr>
        <w:t xml:space="preserve">μερικών </w:t>
      </w:r>
      <w:r w:rsidRPr="008110A0">
        <w:rPr>
          <w:rFonts w:ascii="Times New Roman" w:hAnsi="Times New Roman" w:cs="Times New Roman"/>
          <w:sz w:val="24"/>
          <w:szCs w:val="24"/>
        </w:rPr>
        <w:t xml:space="preserve">βασικών επαγγελμάτων </w:t>
      </w:r>
      <w:r w:rsidR="00380985">
        <w:rPr>
          <w:rFonts w:ascii="Times New Roman" w:hAnsi="Times New Roman" w:cs="Times New Roman"/>
          <w:sz w:val="24"/>
          <w:szCs w:val="24"/>
        </w:rPr>
        <w:t xml:space="preserve">σχετικά με τον </w:t>
      </w:r>
      <w:r w:rsidR="006D70E1">
        <w:rPr>
          <w:rFonts w:ascii="Times New Roman" w:hAnsi="Times New Roman" w:cs="Times New Roman"/>
          <w:sz w:val="24"/>
          <w:szCs w:val="24"/>
        </w:rPr>
        <w:t>κλάδο</w:t>
      </w:r>
      <w:r w:rsidR="00380985">
        <w:rPr>
          <w:rFonts w:ascii="Times New Roman" w:hAnsi="Times New Roman" w:cs="Times New Roman"/>
          <w:sz w:val="24"/>
          <w:szCs w:val="24"/>
        </w:rPr>
        <w:t xml:space="preserve"> του περιβάλλοντος</w:t>
      </w:r>
      <w:r w:rsidRPr="008110A0">
        <w:rPr>
          <w:rFonts w:ascii="Times New Roman" w:hAnsi="Times New Roman" w:cs="Times New Roman"/>
          <w:sz w:val="24"/>
          <w:szCs w:val="24"/>
        </w:rPr>
        <w:t xml:space="preserve"> στον Πίνακα 1.</w:t>
      </w:r>
    </w:p>
    <w:p w:rsidR="001F00E0" w:rsidRPr="008110A0" w:rsidRDefault="001F00E0" w:rsidP="001F00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00E0" w:rsidRDefault="001F00E0" w:rsidP="001F0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A0">
        <w:rPr>
          <w:rFonts w:ascii="Times New Roman" w:hAnsi="Times New Roman" w:cs="Times New Roman"/>
          <w:b/>
          <w:sz w:val="24"/>
          <w:szCs w:val="24"/>
        </w:rPr>
        <w:t>Πίνακας 1.</w:t>
      </w:r>
      <w:r w:rsidRPr="008110A0">
        <w:rPr>
          <w:rFonts w:ascii="Times New Roman" w:hAnsi="Times New Roman" w:cs="Times New Roman"/>
          <w:sz w:val="24"/>
          <w:szCs w:val="24"/>
        </w:rPr>
        <w:t xml:space="preserve"> Ε</w:t>
      </w:r>
      <w:r w:rsidRPr="001179F9">
        <w:rPr>
          <w:rFonts w:ascii="Times New Roman" w:hAnsi="Times New Roman" w:cs="Times New Roman"/>
          <w:sz w:val="24"/>
          <w:szCs w:val="24"/>
        </w:rPr>
        <w:t xml:space="preserve">ξέλιξη στην απασχόληση βασικών επαγγελμάτων </w:t>
      </w:r>
      <w:r w:rsidR="001179F9">
        <w:rPr>
          <w:rFonts w:ascii="Times New Roman" w:hAnsi="Times New Roman" w:cs="Times New Roman"/>
          <w:sz w:val="24"/>
          <w:szCs w:val="24"/>
        </w:rPr>
        <w:t xml:space="preserve">στον </w:t>
      </w:r>
      <w:r w:rsidR="006D70E1">
        <w:rPr>
          <w:rFonts w:ascii="Times New Roman" w:hAnsi="Times New Roman" w:cs="Times New Roman"/>
          <w:sz w:val="24"/>
          <w:szCs w:val="24"/>
        </w:rPr>
        <w:t>κλάδο</w:t>
      </w:r>
      <w:r w:rsidR="001179F9">
        <w:rPr>
          <w:rFonts w:ascii="Times New Roman" w:hAnsi="Times New Roman" w:cs="Times New Roman"/>
          <w:sz w:val="24"/>
          <w:szCs w:val="24"/>
        </w:rPr>
        <w:t xml:space="preserve"> του περιβάλλοντος</w:t>
      </w:r>
    </w:p>
    <w:tbl>
      <w:tblPr>
        <w:tblStyle w:val="TableGrid"/>
        <w:tblW w:w="9711" w:type="dxa"/>
        <w:jc w:val="center"/>
        <w:tblInd w:w="-882" w:type="dxa"/>
        <w:tblLook w:val="04A0" w:firstRow="1" w:lastRow="0" w:firstColumn="1" w:lastColumn="0" w:noHBand="0" w:noVBand="1"/>
      </w:tblPr>
      <w:tblGrid>
        <w:gridCol w:w="308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E1A62" w:rsidRPr="000E1A62" w:rsidTr="000E1A62">
        <w:trPr>
          <w:trHeight w:val="56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0E1A62" w:rsidRPr="000E1A62" w:rsidTr="000E1A62">
        <w:trPr>
          <w:trHeight w:val="177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Διευθυντές παραγωγής στη γεωργία, τη δασοκομία και την αλιεία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0E1A62" w:rsidRPr="000E1A62" w:rsidTr="000E1A62">
        <w:trPr>
          <w:trHeight w:val="171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Διευθυντές μεταποίησης, εξόρυξης, κατασκευών και διανομής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21.949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21.427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21.217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21.785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22.139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22.555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22.720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22.861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23.140</w:t>
            </w:r>
          </w:p>
        </w:tc>
      </w:tr>
      <w:tr w:rsidR="000E1A62" w:rsidRPr="000E1A62" w:rsidTr="000E1A62">
        <w:trPr>
          <w:trHeight w:val="56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Επαγγελματίες των φυσικών επιστημών και των επιστημών της γης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9.311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8.977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8.956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9.233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9.397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9.618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9.789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9.945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10.181</w:t>
            </w:r>
          </w:p>
        </w:tc>
      </w:tr>
      <w:tr w:rsidR="000E1A62" w:rsidRPr="000E1A62" w:rsidTr="000E1A62">
        <w:trPr>
          <w:trHeight w:val="329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Τεχνολόγοι επιστημών φυσικής και μηχανικής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32.310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30.509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30.383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31.475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32.298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33.235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33.794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34.279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34.980</w:t>
            </w:r>
          </w:p>
        </w:tc>
      </w:tr>
      <w:tr w:rsidR="000E1A62" w:rsidRPr="000E1A62" w:rsidTr="000E1A62">
        <w:trPr>
          <w:trHeight w:val="56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Επόπτες ορυχείων, μεταποίησης και κατασκευών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8.455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8.199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8.299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8.753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9.159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9.584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9.881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10.151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10.479</w:t>
            </w:r>
          </w:p>
        </w:tc>
      </w:tr>
      <w:tr w:rsidR="000E1A62" w:rsidRPr="000E1A62" w:rsidTr="000E1A62">
        <w:trPr>
          <w:trHeight w:val="402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Καλλιεργητές προσανατολισμένοι στην αγορά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356.561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336.252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334.433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343.905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351.546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358.921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361.473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366.618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374.827</w:t>
            </w:r>
          </w:p>
        </w:tc>
      </w:tr>
      <w:tr w:rsidR="000E1A62" w:rsidRPr="000E1A62" w:rsidTr="000E1A62">
        <w:trPr>
          <w:trHeight w:val="56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Κτηνοτρόφοι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54.934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51.797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51.525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52.991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54.177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55.319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55.712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56.510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57.781</w:t>
            </w:r>
          </w:p>
        </w:tc>
      </w:tr>
      <w:tr w:rsidR="000E1A62" w:rsidRPr="000E1A62" w:rsidTr="000E1A62">
        <w:trPr>
          <w:trHeight w:val="345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Γεωργοκτηνοτρόφοι</w:t>
            </w:r>
            <w:proofErr w:type="spellEnd"/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μικτών εκμεταλλεύσεων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33.423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31.517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31.352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32.246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32.970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33.666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33.908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34.395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35.170</w:t>
            </w:r>
          </w:p>
        </w:tc>
      </w:tr>
      <w:tr w:rsidR="000E1A62" w:rsidRPr="000E1A62" w:rsidTr="000E1A62">
        <w:trPr>
          <w:trHeight w:val="107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Δασοκόμοι, υλοτόμοι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4.295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4.107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4.031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4.098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4.115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4.175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4.171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4.194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4.250</w:t>
            </w:r>
          </w:p>
        </w:tc>
      </w:tr>
      <w:tr w:rsidR="000E1A62" w:rsidRPr="000E1A62" w:rsidTr="000E1A62">
        <w:trPr>
          <w:trHeight w:val="363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Αλιείς, κυνηγοί και παγιδευτές θηραμάτων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12.458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12.097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12.024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12.377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12.679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13.004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13.170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13.420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13.788</w:t>
            </w:r>
          </w:p>
        </w:tc>
      </w:tr>
      <w:tr w:rsidR="000E1A62" w:rsidRPr="000E1A62" w:rsidTr="000E1A62">
        <w:trPr>
          <w:trHeight w:val="269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Χειριστές εγκαταστάσεων ορυχείων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6.520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6.380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6.430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6.707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6.916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7.138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7.295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7.454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7.664</w:t>
            </w:r>
          </w:p>
        </w:tc>
      </w:tr>
      <w:tr w:rsidR="000E1A62" w:rsidRPr="000E1A62" w:rsidTr="000E1A62">
        <w:trPr>
          <w:trHeight w:val="273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Εργάτες γεωργίας, δασοκομίας και αλιείας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27.648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26.100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25.924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26.628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27.180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27.725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27.911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28.283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28.892</w:t>
            </w:r>
          </w:p>
        </w:tc>
      </w:tr>
      <w:tr w:rsidR="000E1A62" w:rsidRPr="000E1A62" w:rsidTr="000E1A62">
        <w:trPr>
          <w:trHeight w:val="296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Εργάτες ορυχείων και κατασκευών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18.833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17.666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17.911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18.914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19.835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20.787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21.443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22.076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22.823</w:t>
            </w:r>
          </w:p>
        </w:tc>
      </w:tr>
      <w:tr w:rsidR="000E1A62" w:rsidRPr="000E1A62" w:rsidTr="000E1A62">
        <w:trPr>
          <w:trHeight w:val="296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Εργάτες μεταποίησης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17.770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16.914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16.691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17.084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17.356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17.650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17.730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17.831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18.049</w:t>
            </w:r>
          </w:p>
        </w:tc>
      </w:tr>
      <w:tr w:rsidR="000E1A62" w:rsidRPr="000E1A62" w:rsidTr="000E1A62">
        <w:trPr>
          <w:trHeight w:val="131"/>
          <w:jc w:val="center"/>
        </w:trPr>
        <w:tc>
          <w:tcPr>
            <w:tcW w:w="3087" w:type="dxa"/>
            <w:vAlign w:val="center"/>
            <w:hideMark/>
          </w:tcPr>
          <w:p w:rsidR="000E1A62" w:rsidRPr="000E1A62" w:rsidRDefault="000E1A62" w:rsidP="007F6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b/>
                <w:sz w:val="16"/>
                <w:szCs w:val="16"/>
              </w:rPr>
              <w:t>Συλλέκτες απορριμμάτων, εν γένει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14.862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14.264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14.097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14.434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14.650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14.875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15.073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15.210</w:t>
            </w:r>
          </w:p>
        </w:tc>
        <w:tc>
          <w:tcPr>
            <w:tcW w:w="736" w:type="dxa"/>
            <w:noWrap/>
            <w:vAlign w:val="center"/>
            <w:hideMark/>
          </w:tcPr>
          <w:p w:rsidR="000E1A62" w:rsidRPr="000E1A62" w:rsidRDefault="000E1A62" w:rsidP="007F6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62">
              <w:rPr>
                <w:rFonts w:ascii="Times New Roman" w:hAnsi="Times New Roman" w:cs="Times New Roman"/>
                <w:sz w:val="16"/>
                <w:szCs w:val="16"/>
              </w:rPr>
              <w:t>15.506</w:t>
            </w:r>
          </w:p>
        </w:tc>
      </w:tr>
    </w:tbl>
    <w:p w:rsidR="001F00E0" w:rsidRPr="000E1A62" w:rsidRDefault="001F00E0" w:rsidP="00FC796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D2795">
        <w:rPr>
          <w:rFonts w:ascii="Times New Roman" w:hAnsi="Times New Roman"/>
          <w:b/>
          <w:sz w:val="18"/>
          <w:szCs w:val="18"/>
        </w:rPr>
        <w:t>Πηγή</w:t>
      </w:r>
      <w:r w:rsidRPr="00DD2795"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 w:rsidRPr="00DD2795">
        <w:rPr>
          <w:rFonts w:ascii="Times New Roman" w:hAnsi="Times New Roman"/>
          <w:sz w:val="18"/>
          <w:szCs w:val="18"/>
          <w:lang w:val="en-US"/>
        </w:rPr>
        <w:t>Petrakis P.E.</w:t>
      </w:r>
      <w:r>
        <w:rPr>
          <w:rFonts w:ascii="Times New Roman" w:hAnsi="Times New Roman"/>
          <w:sz w:val="18"/>
          <w:szCs w:val="18"/>
          <w:lang w:val="en-US"/>
        </w:rPr>
        <w:t xml:space="preserve"> (Ed.)</w:t>
      </w:r>
      <w:r w:rsidRPr="00DD2795">
        <w:rPr>
          <w:rFonts w:ascii="Times New Roman" w:hAnsi="Times New Roman"/>
          <w:sz w:val="18"/>
          <w:szCs w:val="18"/>
          <w:lang w:val="en-US"/>
        </w:rPr>
        <w:t xml:space="preserve"> (2014)</w:t>
      </w:r>
      <w:r w:rsidRPr="00DD279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The</w:t>
      </w:r>
      <w:proofErr w:type="gramEnd"/>
      <w:r w:rsidRPr="00DD2795">
        <w:rPr>
          <w:rFonts w:ascii="Times New Roman" w:hAnsi="Times New Roman"/>
          <w:sz w:val="18"/>
          <w:szCs w:val="18"/>
          <w:lang w:val="en-US"/>
        </w:rPr>
        <w:t xml:space="preserve"> Rebirth of the Greek Labor Market.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Building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Toward</w:t>
      </w:r>
      <w:r w:rsidRPr="007C4E12">
        <w:rPr>
          <w:rFonts w:ascii="Times New Roman" w:hAnsi="Times New Roman"/>
          <w:sz w:val="18"/>
          <w:szCs w:val="18"/>
        </w:rPr>
        <w:t xml:space="preserve"> 2020.</w:t>
      </w:r>
      <w:proofErr w:type="gramEnd"/>
      <w:r w:rsidRPr="007C4E1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After</w:t>
      </w:r>
      <w:r w:rsidRPr="000E1A6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the</w:t>
      </w:r>
      <w:r w:rsidRPr="000E1A6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Global</w:t>
      </w:r>
      <w:r w:rsidRPr="000E1A6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Financial</w:t>
      </w:r>
      <w:r w:rsidRPr="000E1A6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Meltdown</w:t>
      </w:r>
      <w:r w:rsidRPr="000E1A62">
        <w:rPr>
          <w:rFonts w:ascii="Times New Roman" w:hAnsi="Times New Roman"/>
          <w:sz w:val="18"/>
          <w:szCs w:val="18"/>
        </w:rPr>
        <w:t xml:space="preserve">, </w:t>
      </w:r>
      <w:r w:rsidRPr="00DD2795">
        <w:rPr>
          <w:rFonts w:ascii="Times New Roman" w:hAnsi="Times New Roman"/>
          <w:sz w:val="18"/>
          <w:szCs w:val="18"/>
          <w:lang w:val="en-US"/>
        </w:rPr>
        <w:t>Palgrave</w:t>
      </w:r>
      <w:r w:rsidRPr="000E1A6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McMillan</w:t>
      </w:r>
      <w:r w:rsidRPr="000E1A62">
        <w:rPr>
          <w:rFonts w:ascii="Times New Roman" w:hAnsi="Times New Roman"/>
          <w:sz w:val="18"/>
          <w:szCs w:val="18"/>
        </w:rPr>
        <w:t>.</w:t>
      </w:r>
      <w:proofErr w:type="gramEnd"/>
      <w:r w:rsidR="00343960">
        <w:rPr>
          <w:rFonts w:ascii="Times New Roman" w:hAnsi="Times New Roman"/>
          <w:sz w:val="18"/>
          <w:szCs w:val="18"/>
        </w:rPr>
        <w:t xml:space="preserve"> Γ</w:t>
      </w:r>
      <w:r w:rsidR="00343960" w:rsidRPr="00343960">
        <w:rPr>
          <w:rFonts w:ascii="Times New Roman" w:hAnsi="Times New Roman"/>
          <w:sz w:val="18"/>
          <w:szCs w:val="18"/>
        </w:rPr>
        <w:t xml:space="preserve">ια περισσότερες πληροφορίες πατήστε </w:t>
      </w:r>
      <w:hyperlink r:id="rId7" w:history="1">
        <w:r w:rsidR="00343960" w:rsidRPr="002805FF">
          <w:rPr>
            <w:rStyle w:val="Hyperlink"/>
            <w:rFonts w:ascii="Times New Roman" w:hAnsi="Times New Roman"/>
            <w:sz w:val="18"/>
            <w:szCs w:val="18"/>
          </w:rPr>
          <w:t>εδώ</w:t>
        </w:r>
      </w:hyperlink>
      <w:r w:rsidR="00343960">
        <w:rPr>
          <w:rFonts w:ascii="Times New Roman" w:hAnsi="Times New Roman"/>
          <w:sz w:val="18"/>
          <w:szCs w:val="18"/>
        </w:rPr>
        <w:t>.</w:t>
      </w:r>
    </w:p>
    <w:p w:rsidR="001F00E0" w:rsidRPr="000E1A62" w:rsidRDefault="001F00E0" w:rsidP="00FC796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375257" w:rsidRPr="00375257" w:rsidRDefault="00FC7967" w:rsidP="00343960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Στην πλειονότητά τους τα επαγγέλματα που σχετίζονται με δραστηριότητες γύρω από το περιβάλλον αναμένουμε να καταγράψουν θετική τροχιά ως προς την απασχόληση μέχρι το 2020. Μεταξύ αυτών ξεχωρίζουμε τους </w:t>
      </w:r>
      <w:r w:rsidRPr="00FC7967">
        <w:rPr>
          <w:rFonts w:ascii="Times New Roman" w:hAnsi="Times New Roman"/>
          <w:sz w:val="24"/>
          <w:szCs w:val="24"/>
        </w:rPr>
        <w:t>επόπτες ορυχείων, μεταποίησης και κατασκευών</w:t>
      </w:r>
      <w:r w:rsidR="001C26A1">
        <w:rPr>
          <w:rFonts w:ascii="Times New Roman" w:hAnsi="Times New Roman"/>
          <w:sz w:val="24"/>
          <w:szCs w:val="24"/>
        </w:rPr>
        <w:t xml:space="preserve"> με αύξηση της απασχόλησής τους κατά 23,93% την περίοδο 2012-2020. Για την ίδια περίοδο οι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</w:t>
      </w:r>
      <w:r w:rsidRPr="00FC7967">
        <w:rPr>
          <w:rFonts w:ascii="Times New Roman" w:eastAsia="Times New Roman" w:hAnsi="Times New Roman" w:cs="Times New Roman"/>
          <w:color w:val="000000"/>
          <w:sz w:val="24"/>
          <w:szCs w:val="24"/>
        </w:rPr>
        <w:t>ργάτες ορυχείων και κατασκευών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αναμένεται να </w:t>
      </w:r>
      <w:r w:rsidR="001C26A1">
        <w:rPr>
          <w:rFonts w:ascii="Times New Roman" w:eastAsia="Times New Roman" w:hAnsi="Times New Roman" w:cs="Times New Roman"/>
          <w:color w:val="000000"/>
          <w:sz w:val="24"/>
          <w:szCs w:val="24"/>
        </w:rPr>
        <w:t>σημειώ</w:t>
      </w:r>
      <w:r w:rsidR="00413155">
        <w:rPr>
          <w:rFonts w:ascii="Times New Roman" w:eastAsia="Times New Roman" w:hAnsi="Times New Roman" w:cs="Times New Roman"/>
          <w:color w:val="000000"/>
          <w:sz w:val="24"/>
          <w:szCs w:val="24"/>
        </w:rPr>
        <w:t>σ</w:t>
      </w:r>
      <w:r w:rsidR="001C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ουν αύξηση </w:t>
      </w:r>
      <w:r w:rsidR="0034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κατά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21,18%</w:t>
      </w:r>
      <w:r w:rsidR="001C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ενώ οι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</w:t>
      </w:r>
      <w:r w:rsidRPr="00FC7967">
        <w:rPr>
          <w:rFonts w:ascii="Times New Roman" w:eastAsia="Times New Roman" w:hAnsi="Times New Roman" w:cs="Times New Roman"/>
          <w:color w:val="000000"/>
          <w:sz w:val="24"/>
          <w:szCs w:val="24"/>
        </w:rPr>
        <w:t>παγγελματίες των φυσικών επιστημών και των επιστημών της γης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αύξηση </w:t>
      </w:r>
      <w:r w:rsidR="0034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κατά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9,34%</w:t>
      </w:r>
      <w:r w:rsidR="001C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75257" w:rsidRPr="00375257" w:rsidSect="00343960">
      <w:footerReference w:type="default" r:id="rId8"/>
      <w:pgSz w:w="11906" w:h="16838"/>
      <w:pgMar w:top="709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D1" w:rsidRDefault="00203ED1" w:rsidP="001C26A1">
      <w:pPr>
        <w:spacing w:after="0" w:line="240" w:lineRule="auto"/>
      </w:pPr>
      <w:r>
        <w:separator/>
      </w:r>
    </w:p>
  </w:endnote>
  <w:endnote w:type="continuationSeparator" w:id="0">
    <w:p w:rsidR="00203ED1" w:rsidRDefault="00203ED1" w:rsidP="001C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55641"/>
      <w:docPartObj>
        <w:docPartGallery w:val="Page Numbers (Bottom of Page)"/>
        <w:docPartUnique/>
      </w:docPartObj>
    </w:sdtPr>
    <w:sdtEndPr/>
    <w:sdtContent>
      <w:p w:rsidR="000E1A62" w:rsidRDefault="00203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A62" w:rsidRDefault="000E1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D1" w:rsidRDefault="00203ED1" w:rsidP="001C26A1">
      <w:pPr>
        <w:spacing w:after="0" w:line="240" w:lineRule="auto"/>
      </w:pPr>
      <w:r>
        <w:separator/>
      </w:r>
    </w:p>
  </w:footnote>
  <w:footnote w:type="continuationSeparator" w:id="0">
    <w:p w:rsidR="00203ED1" w:rsidRDefault="00203ED1" w:rsidP="001C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57"/>
    <w:rsid w:val="00093CC8"/>
    <w:rsid w:val="000A6886"/>
    <w:rsid w:val="000E1A62"/>
    <w:rsid w:val="001179F9"/>
    <w:rsid w:val="001C26A1"/>
    <w:rsid w:val="001F00E0"/>
    <w:rsid w:val="00203ED1"/>
    <w:rsid w:val="00262C5D"/>
    <w:rsid w:val="002805FF"/>
    <w:rsid w:val="0029124F"/>
    <w:rsid w:val="002C52D3"/>
    <w:rsid w:val="00343960"/>
    <w:rsid w:val="00375257"/>
    <w:rsid w:val="00380985"/>
    <w:rsid w:val="003F73FA"/>
    <w:rsid w:val="00406A97"/>
    <w:rsid w:val="00413155"/>
    <w:rsid w:val="00430FD9"/>
    <w:rsid w:val="004B6851"/>
    <w:rsid w:val="005E3663"/>
    <w:rsid w:val="006052A9"/>
    <w:rsid w:val="006D70E1"/>
    <w:rsid w:val="006D7AC6"/>
    <w:rsid w:val="007F68F5"/>
    <w:rsid w:val="008B7A48"/>
    <w:rsid w:val="00B43EEA"/>
    <w:rsid w:val="00B97E45"/>
    <w:rsid w:val="00F113D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E0"/>
    <w:rPr>
      <w:color w:val="0000FF"/>
      <w:u w:val="single"/>
    </w:rPr>
  </w:style>
  <w:style w:type="table" w:styleId="TableGrid">
    <w:name w:val="Table Grid"/>
    <w:basedOn w:val="TableNormal"/>
    <w:uiPriority w:val="59"/>
    <w:rsid w:val="001F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2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6A1"/>
  </w:style>
  <w:style w:type="paragraph" w:styleId="Footer">
    <w:name w:val="footer"/>
    <w:basedOn w:val="Normal"/>
    <w:link w:val="FooterChar"/>
    <w:uiPriority w:val="99"/>
    <w:unhideWhenUsed/>
    <w:rsid w:val="001C2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A1"/>
  </w:style>
  <w:style w:type="character" w:styleId="FollowedHyperlink">
    <w:name w:val="FollowedHyperlink"/>
    <w:basedOn w:val="DefaultParagraphFont"/>
    <w:uiPriority w:val="99"/>
    <w:semiHidden/>
    <w:unhideWhenUsed/>
    <w:rsid w:val="00430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E0"/>
    <w:rPr>
      <w:color w:val="0000FF"/>
      <w:u w:val="single"/>
    </w:rPr>
  </w:style>
  <w:style w:type="table" w:styleId="TableGrid">
    <w:name w:val="Table Grid"/>
    <w:basedOn w:val="TableNormal"/>
    <w:uiPriority w:val="59"/>
    <w:rsid w:val="001F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2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6A1"/>
  </w:style>
  <w:style w:type="paragraph" w:styleId="Footer">
    <w:name w:val="footer"/>
    <w:basedOn w:val="Normal"/>
    <w:link w:val="FooterChar"/>
    <w:uiPriority w:val="99"/>
    <w:unhideWhenUsed/>
    <w:rsid w:val="001C2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A1"/>
  </w:style>
  <w:style w:type="character" w:styleId="FollowedHyperlink">
    <w:name w:val="FollowedHyperlink"/>
    <w:basedOn w:val="DefaultParagraphFont"/>
    <w:uiPriority w:val="99"/>
    <w:semiHidden/>
    <w:unhideWhenUsed/>
    <w:rsid w:val="00430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deepanalysis.gr/prooptikes-apasxolishs-sthn-ellhnikh-oikonomia-mexri-to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Valsamis Dionysis</dc:creator>
  <cp:lastModifiedBy>Lida</cp:lastModifiedBy>
  <cp:revision>2</cp:revision>
  <dcterms:created xsi:type="dcterms:W3CDTF">2016-03-09T12:39:00Z</dcterms:created>
  <dcterms:modified xsi:type="dcterms:W3CDTF">2016-03-09T12:39:00Z</dcterms:modified>
</cp:coreProperties>
</file>