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D5" w:rsidRDefault="00A245F2" w:rsidP="001F00E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Πολιτισμός</w:t>
      </w:r>
    </w:p>
    <w:p w:rsidR="001C26A1" w:rsidRPr="001F00E0" w:rsidRDefault="001C26A1" w:rsidP="001F00E0">
      <w:pPr>
        <w:jc w:val="center"/>
        <w:rPr>
          <w:rFonts w:ascii="Times New Roman" w:hAnsi="Times New Roman" w:cs="Times New Roman"/>
          <w:b/>
          <w:sz w:val="24"/>
          <w:szCs w:val="24"/>
        </w:rPr>
      </w:pPr>
    </w:p>
    <w:p w:rsidR="00E94710" w:rsidRDefault="00544B8B" w:rsidP="003809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Ο πολιτισμός και οι τέχνες πέραν της αξίας ως τη θεμέλιο λίθο για την ανάγνωση της εξέλιξης των κοινωνιών, είναι συνυφασμένες και με την οικονομική ανάπτυξη. </w:t>
      </w:r>
      <w:r w:rsidR="007566AA">
        <w:rPr>
          <w:rFonts w:ascii="Times New Roman" w:hAnsi="Times New Roman" w:cs="Times New Roman"/>
          <w:sz w:val="24"/>
          <w:szCs w:val="24"/>
        </w:rPr>
        <w:t>Χαρακτηριστική είναι η διασύνδεση του πολιτισμού</w:t>
      </w:r>
      <w:r w:rsidR="00C97507">
        <w:rPr>
          <w:rFonts w:ascii="Times New Roman" w:hAnsi="Times New Roman" w:cs="Times New Roman"/>
          <w:sz w:val="24"/>
          <w:szCs w:val="24"/>
        </w:rPr>
        <w:t xml:space="preserve"> με την τουριστ</w:t>
      </w:r>
      <w:r>
        <w:rPr>
          <w:rFonts w:ascii="Times New Roman" w:hAnsi="Times New Roman" w:cs="Times New Roman"/>
          <w:sz w:val="24"/>
          <w:szCs w:val="24"/>
        </w:rPr>
        <w:t>ική βιομηχανία ως συμπληρωματικές υπηρεσίες</w:t>
      </w:r>
      <w:r w:rsidR="00C97507">
        <w:rPr>
          <w:rFonts w:ascii="Times New Roman" w:hAnsi="Times New Roman" w:cs="Times New Roman"/>
          <w:sz w:val="24"/>
          <w:szCs w:val="24"/>
        </w:rPr>
        <w:t xml:space="preserve">. Η αξιοποίηση της πολιτισμικής κληρονομιάς </w:t>
      </w:r>
      <w:r w:rsidR="004A12F1">
        <w:rPr>
          <w:rFonts w:ascii="Times New Roman" w:hAnsi="Times New Roman" w:cs="Times New Roman"/>
          <w:sz w:val="24"/>
          <w:szCs w:val="24"/>
        </w:rPr>
        <w:t xml:space="preserve">αναμένεται να δημιουργήσει θετικές προοπτικές στα επαγγέλματα στον κλάδο του πολιτισμού. </w:t>
      </w:r>
    </w:p>
    <w:p w:rsidR="001F00E0" w:rsidRDefault="001F00E0" w:rsidP="005E3663">
      <w:pPr>
        <w:spacing w:after="0" w:line="360" w:lineRule="auto"/>
        <w:ind w:firstLine="720"/>
        <w:jc w:val="both"/>
        <w:rPr>
          <w:rFonts w:ascii="Times New Roman" w:hAnsi="Times New Roman" w:cs="Times New Roman"/>
          <w:sz w:val="24"/>
          <w:szCs w:val="24"/>
        </w:rPr>
      </w:pPr>
      <w:r w:rsidRPr="008110A0">
        <w:rPr>
          <w:rFonts w:ascii="Times New Roman" w:hAnsi="Times New Roman" w:cs="Times New Roman"/>
          <w:sz w:val="24"/>
          <w:szCs w:val="24"/>
        </w:rPr>
        <w:t xml:space="preserve">Το βασικό ερώτημα που αφορά το μέλλον, είναι το πώς αναμένεται να μεταβληθεί η απασχόληση </w:t>
      </w:r>
      <w:r w:rsidR="00380985">
        <w:rPr>
          <w:rFonts w:ascii="Times New Roman" w:hAnsi="Times New Roman" w:cs="Times New Roman"/>
          <w:sz w:val="24"/>
          <w:szCs w:val="24"/>
        </w:rPr>
        <w:t xml:space="preserve">στα επαγγέλματα </w:t>
      </w:r>
      <w:r w:rsidR="00E94710">
        <w:rPr>
          <w:rFonts w:ascii="Times New Roman" w:hAnsi="Times New Roman" w:cs="Times New Roman"/>
          <w:sz w:val="24"/>
          <w:szCs w:val="24"/>
        </w:rPr>
        <w:t>στον</w:t>
      </w:r>
      <w:r w:rsidR="00380985">
        <w:rPr>
          <w:rFonts w:ascii="Times New Roman" w:hAnsi="Times New Roman" w:cs="Times New Roman"/>
          <w:sz w:val="24"/>
          <w:szCs w:val="24"/>
        </w:rPr>
        <w:t xml:space="preserve"> </w:t>
      </w:r>
      <w:r w:rsidR="006D70E1">
        <w:rPr>
          <w:rFonts w:ascii="Times New Roman" w:hAnsi="Times New Roman" w:cs="Times New Roman"/>
          <w:sz w:val="24"/>
          <w:szCs w:val="24"/>
        </w:rPr>
        <w:t>κλάδο</w:t>
      </w:r>
      <w:r w:rsidR="00380985">
        <w:rPr>
          <w:rFonts w:ascii="Times New Roman" w:hAnsi="Times New Roman" w:cs="Times New Roman"/>
          <w:sz w:val="24"/>
          <w:szCs w:val="24"/>
        </w:rPr>
        <w:t xml:space="preserve"> του </w:t>
      </w:r>
      <w:r w:rsidR="00E94710">
        <w:rPr>
          <w:rFonts w:ascii="Times New Roman" w:hAnsi="Times New Roman" w:cs="Times New Roman"/>
          <w:sz w:val="24"/>
          <w:szCs w:val="24"/>
        </w:rPr>
        <w:t>πολιτισμού</w:t>
      </w:r>
      <w:r w:rsidRPr="008110A0">
        <w:rPr>
          <w:rFonts w:ascii="Times New Roman" w:hAnsi="Times New Roman" w:cs="Times New Roman"/>
          <w:sz w:val="24"/>
          <w:szCs w:val="24"/>
        </w:rPr>
        <w:t xml:space="preserve"> μέχρι το 2020.</w:t>
      </w:r>
      <w:r w:rsidR="005E3663">
        <w:rPr>
          <w:rFonts w:ascii="Times New Roman" w:hAnsi="Times New Roman" w:cs="Times New Roman"/>
          <w:sz w:val="24"/>
          <w:szCs w:val="24"/>
        </w:rPr>
        <w:t xml:space="preserve"> </w:t>
      </w:r>
      <w:r w:rsidRPr="008110A0">
        <w:rPr>
          <w:rFonts w:ascii="Times New Roman" w:hAnsi="Times New Roman" w:cs="Times New Roman"/>
          <w:sz w:val="24"/>
          <w:szCs w:val="24"/>
        </w:rPr>
        <w:t xml:space="preserve">Ενδεικτικά είναι τα αποτελέσματα για την εξέλιξη </w:t>
      </w:r>
      <w:r w:rsidR="006052A9">
        <w:rPr>
          <w:rFonts w:ascii="Times New Roman" w:hAnsi="Times New Roman" w:cs="Times New Roman"/>
          <w:sz w:val="24"/>
          <w:szCs w:val="24"/>
        </w:rPr>
        <w:t xml:space="preserve">μερικών </w:t>
      </w:r>
      <w:r w:rsidRPr="008110A0">
        <w:rPr>
          <w:rFonts w:ascii="Times New Roman" w:hAnsi="Times New Roman" w:cs="Times New Roman"/>
          <w:sz w:val="24"/>
          <w:szCs w:val="24"/>
        </w:rPr>
        <w:t xml:space="preserve">βασικών επαγγελμάτων </w:t>
      </w:r>
      <w:r w:rsidR="00380985">
        <w:rPr>
          <w:rFonts w:ascii="Times New Roman" w:hAnsi="Times New Roman" w:cs="Times New Roman"/>
          <w:sz w:val="24"/>
          <w:szCs w:val="24"/>
        </w:rPr>
        <w:t xml:space="preserve">σχετικά με τον </w:t>
      </w:r>
      <w:r w:rsidR="006D70E1">
        <w:rPr>
          <w:rFonts w:ascii="Times New Roman" w:hAnsi="Times New Roman" w:cs="Times New Roman"/>
          <w:sz w:val="24"/>
          <w:szCs w:val="24"/>
        </w:rPr>
        <w:t>κλάδο</w:t>
      </w:r>
      <w:r w:rsidR="00380985">
        <w:rPr>
          <w:rFonts w:ascii="Times New Roman" w:hAnsi="Times New Roman" w:cs="Times New Roman"/>
          <w:sz w:val="24"/>
          <w:szCs w:val="24"/>
        </w:rPr>
        <w:t xml:space="preserve"> του </w:t>
      </w:r>
      <w:r w:rsidR="00E94710">
        <w:rPr>
          <w:rFonts w:ascii="Times New Roman" w:hAnsi="Times New Roman" w:cs="Times New Roman"/>
          <w:sz w:val="24"/>
          <w:szCs w:val="24"/>
        </w:rPr>
        <w:t>πολιτισμού</w:t>
      </w:r>
      <w:r w:rsidRPr="008110A0">
        <w:rPr>
          <w:rFonts w:ascii="Times New Roman" w:hAnsi="Times New Roman" w:cs="Times New Roman"/>
          <w:sz w:val="24"/>
          <w:szCs w:val="24"/>
        </w:rPr>
        <w:t xml:space="preserve"> στον Πίνακα 1.</w:t>
      </w:r>
    </w:p>
    <w:p w:rsidR="001F00E0" w:rsidRPr="008110A0" w:rsidRDefault="001F00E0" w:rsidP="001F00E0">
      <w:pPr>
        <w:spacing w:after="0" w:line="360" w:lineRule="auto"/>
        <w:ind w:firstLine="720"/>
        <w:jc w:val="both"/>
        <w:rPr>
          <w:rFonts w:ascii="Times New Roman" w:hAnsi="Times New Roman" w:cs="Times New Roman"/>
          <w:sz w:val="24"/>
          <w:szCs w:val="24"/>
        </w:rPr>
      </w:pPr>
    </w:p>
    <w:p w:rsidR="001F00E0" w:rsidRPr="00E94710" w:rsidRDefault="001F00E0" w:rsidP="001F00E0">
      <w:pPr>
        <w:spacing w:after="0" w:line="360" w:lineRule="auto"/>
        <w:jc w:val="both"/>
        <w:rPr>
          <w:rFonts w:ascii="Times New Roman" w:hAnsi="Times New Roman" w:cs="Times New Roman"/>
          <w:sz w:val="24"/>
          <w:szCs w:val="24"/>
        </w:rPr>
      </w:pPr>
      <w:r w:rsidRPr="008110A0">
        <w:rPr>
          <w:rFonts w:ascii="Times New Roman" w:hAnsi="Times New Roman" w:cs="Times New Roman"/>
          <w:b/>
          <w:sz w:val="24"/>
          <w:szCs w:val="24"/>
        </w:rPr>
        <w:t>Πίνακας 1.</w:t>
      </w:r>
      <w:r w:rsidRPr="008110A0">
        <w:rPr>
          <w:rFonts w:ascii="Times New Roman" w:hAnsi="Times New Roman" w:cs="Times New Roman"/>
          <w:sz w:val="24"/>
          <w:szCs w:val="24"/>
        </w:rPr>
        <w:t xml:space="preserve"> Ε</w:t>
      </w:r>
      <w:r w:rsidRPr="001179F9">
        <w:rPr>
          <w:rFonts w:ascii="Times New Roman" w:hAnsi="Times New Roman" w:cs="Times New Roman"/>
          <w:sz w:val="24"/>
          <w:szCs w:val="24"/>
        </w:rPr>
        <w:t xml:space="preserve">ξέλιξη στην απασχόληση βασικών επαγγελμάτων </w:t>
      </w:r>
      <w:r w:rsidR="001179F9">
        <w:rPr>
          <w:rFonts w:ascii="Times New Roman" w:hAnsi="Times New Roman" w:cs="Times New Roman"/>
          <w:sz w:val="24"/>
          <w:szCs w:val="24"/>
        </w:rPr>
        <w:t xml:space="preserve">στον </w:t>
      </w:r>
      <w:r w:rsidR="006D70E1">
        <w:rPr>
          <w:rFonts w:ascii="Times New Roman" w:hAnsi="Times New Roman" w:cs="Times New Roman"/>
          <w:sz w:val="24"/>
          <w:szCs w:val="24"/>
        </w:rPr>
        <w:t>κλάδο</w:t>
      </w:r>
      <w:r w:rsidR="004A12F1">
        <w:rPr>
          <w:rFonts w:ascii="Times New Roman" w:hAnsi="Times New Roman" w:cs="Times New Roman"/>
          <w:sz w:val="24"/>
          <w:szCs w:val="24"/>
        </w:rPr>
        <w:t xml:space="preserve"> του </w:t>
      </w:r>
      <w:r w:rsidR="00E94710">
        <w:rPr>
          <w:rFonts w:ascii="Times New Roman" w:hAnsi="Times New Roman" w:cs="Times New Roman"/>
          <w:sz w:val="24"/>
          <w:szCs w:val="24"/>
        </w:rPr>
        <w:t>πολιτισμού</w:t>
      </w:r>
    </w:p>
    <w:tbl>
      <w:tblPr>
        <w:tblStyle w:val="TableGrid"/>
        <w:tblW w:w="9066" w:type="dxa"/>
        <w:jc w:val="center"/>
        <w:tblLook w:val="04A0" w:firstRow="1" w:lastRow="0" w:firstColumn="1" w:lastColumn="0" w:noHBand="0" w:noVBand="1"/>
      </w:tblPr>
      <w:tblGrid>
        <w:gridCol w:w="2963"/>
        <w:gridCol w:w="769"/>
        <w:gridCol w:w="656"/>
        <w:gridCol w:w="656"/>
        <w:gridCol w:w="707"/>
        <w:gridCol w:w="656"/>
        <w:gridCol w:w="656"/>
        <w:gridCol w:w="656"/>
        <w:gridCol w:w="684"/>
        <w:gridCol w:w="663"/>
      </w:tblGrid>
      <w:tr w:rsidR="00A449F7" w:rsidRPr="003576FF" w:rsidTr="005074B4">
        <w:trPr>
          <w:trHeight w:val="184"/>
          <w:jc w:val="center"/>
        </w:trPr>
        <w:tc>
          <w:tcPr>
            <w:tcW w:w="2963" w:type="dxa"/>
            <w:vMerge w:val="restart"/>
            <w:vAlign w:val="center"/>
            <w:hideMark/>
          </w:tcPr>
          <w:p w:rsidR="00A449F7" w:rsidRPr="003576FF" w:rsidRDefault="00A449F7" w:rsidP="00A449F7">
            <w:pPr>
              <w:contextualSpacing/>
              <w:rPr>
                <w:rFonts w:ascii="Times New Roman" w:hAnsi="Times New Roman" w:cs="Times New Roman"/>
                <w:sz w:val="16"/>
                <w:szCs w:val="16"/>
              </w:rPr>
            </w:pPr>
          </w:p>
        </w:tc>
        <w:tc>
          <w:tcPr>
            <w:tcW w:w="769" w:type="dxa"/>
            <w:vMerge w:val="restart"/>
            <w:noWrap/>
            <w:vAlign w:val="center"/>
            <w:hideMark/>
          </w:tcPr>
          <w:p w:rsidR="00A449F7" w:rsidRPr="003576FF" w:rsidRDefault="00A449F7" w:rsidP="00A449F7">
            <w:pPr>
              <w:contextualSpacing/>
              <w:jc w:val="center"/>
              <w:rPr>
                <w:rFonts w:ascii="Times New Roman" w:hAnsi="Times New Roman" w:cs="Times New Roman"/>
                <w:b/>
                <w:bCs/>
                <w:sz w:val="16"/>
                <w:szCs w:val="16"/>
              </w:rPr>
            </w:pPr>
            <w:r w:rsidRPr="003576FF">
              <w:rPr>
                <w:rFonts w:ascii="Times New Roman" w:hAnsi="Times New Roman" w:cs="Times New Roman"/>
                <w:b/>
                <w:bCs/>
                <w:sz w:val="16"/>
                <w:szCs w:val="16"/>
              </w:rPr>
              <w:t>2012</w:t>
            </w:r>
          </w:p>
        </w:tc>
        <w:tc>
          <w:tcPr>
            <w:tcW w:w="656" w:type="dxa"/>
            <w:vMerge w:val="restart"/>
            <w:noWrap/>
            <w:vAlign w:val="center"/>
            <w:hideMark/>
          </w:tcPr>
          <w:p w:rsidR="00A449F7" w:rsidRPr="003576FF" w:rsidRDefault="00A449F7" w:rsidP="00A449F7">
            <w:pPr>
              <w:contextualSpacing/>
              <w:jc w:val="center"/>
              <w:rPr>
                <w:rFonts w:ascii="Times New Roman" w:hAnsi="Times New Roman" w:cs="Times New Roman"/>
                <w:b/>
                <w:bCs/>
                <w:sz w:val="16"/>
                <w:szCs w:val="16"/>
              </w:rPr>
            </w:pPr>
            <w:r w:rsidRPr="003576FF">
              <w:rPr>
                <w:rFonts w:ascii="Times New Roman" w:hAnsi="Times New Roman" w:cs="Times New Roman"/>
                <w:b/>
                <w:bCs/>
                <w:sz w:val="16"/>
                <w:szCs w:val="16"/>
              </w:rPr>
              <w:t>2013</w:t>
            </w:r>
          </w:p>
        </w:tc>
        <w:tc>
          <w:tcPr>
            <w:tcW w:w="656" w:type="dxa"/>
            <w:vMerge w:val="restart"/>
            <w:noWrap/>
            <w:vAlign w:val="center"/>
            <w:hideMark/>
          </w:tcPr>
          <w:p w:rsidR="00A449F7" w:rsidRPr="003576FF" w:rsidRDefault="00A449F7" w:rsidP="00A449F7">
            <w:pPr>
              <w:contextualSpacing/>
              <w:jc w:val="center"/>
              <w:rPr>
                <w:rFonts w:ascii="Times New Roman" w:hAnsi="Times New Roman" w:cs="Times New Roman"/>
                <w:b/>
                <w:bCs/>
                <w:sz w:val="16"/>
                <w:szCs w:val="16"/>
              </w:rPr>
            </w:pPr>
            <w:r w:rsidRPr="003576FF">
              <w:rPr>
                <w:rFonts w:ascii="Times New Roman" w:hAnsi="Times New Roman" w:cs="Times New Roman"/>
                <w:b/>
                <w:bCs/>
                <w:sz w:val="16"/>
                <w:szCs w:val="16"/>
              </w:rPr>
              <w:t>2014</w:t>
            </w:r>
          </w:p>
        </w:tc>
        <w:tc>
          <w:tcPr>
            <w:tcW w:w="707" w:type="dxa"/>
            <w:vMerge w:val="restart"/>
            <w:noWrap/>
            <w:vAlign w:val="center"/>
            <w:hideMark/>
          </w:tcPr>
          <w:p w:rsidR="00A449F7" w:rsidRPr="003576FF" w:rsidRDefault="00A449F7" w:rsidP="00A449F7">
            <w:pPr>
              <w:contextualSpacing/>
              <w:jc w:val="center"/>
              <w:rPr>
                <w:rFonts w:ascii="Times New Roman" w:hAnsi="Times New Roman" w:cs="Times New Roman"/>
                <w:b/>
                <w:bCs/>
                <w:sz w:val="16"/>
                <w:szCs w:val="16"/>
              </w:rPr>
            </w:pPr>
            <w:r w:rsidRPr="003576FF">
              <w:rPr>
                <w:rFonts w:ascii="Times New Roman" w:hAnsi="Times New Roman" w:cs="Times New Roman"/>
                <w:b/>
                <w:bCs/>
                <w:sz w:val="16"/>
                <w:szCs w:val="16"/>
              </w:rPr>
              <w:t>2015</w:t>
            </w:r>
          </w:p>
        </w:tc>
        <w:tc>
          <w:tcPr>
            <w:tcW w:w="656" w:type="dxa"/>
            <w:vMerge w:val="restart"/>
            <w:noWrap/>
            <w:vAlign w:val="center"/>
            <w:hideMark/>
          </w:tcPr>
          <w:p w:rsidR="00A449F7" w:rsidRPr="003576FF" w:rsidRDefault="00A449F7" w:rsidP="00A449F7">
            <w:pPr>
              <w:contextualSpacing/>
              <w:jc w:val="center"/>
              <w:rPr>
                <w:rFonts w:ascii="Times New Roman" w:hAnsi="Times New Roman" w:cs="Times New Roman"/>
                <w:b/>
                <w:bCs/>
                <w:sz w:val="16"/>
                <w:szCs w:val="16"/>
              </w:rPr>
            </w:pPr>
            <w:r w:rsidRPr="003576FF">
              <w:rPr>
                <w:rFonts w:ascii="Times New Roman" w:hAnsi="Times New Roman" w:cs="Times New Roman"/>
                <w:b/>
                <w:bCs/>
                <w:sz w:val="16"/>
                <w:szCs w:val="16"/>
              </w:rPr>
              <w:t>2016</w:t>
            </w:r>
          </w:p>
        </w:tc>
        <w:tc>
          <w:tcPr>
            <w:tcW w:w="656" w:type="dxa"/>
            <w:vMerge w:val="restart"/>
            <w:noWrap/>
            <w:vAlign w:val="center"/>
            <w:hideMark/>
          </w:tcPr>
          <w:p w:rsidR="00A449F7" w:rsidRPr="003576FF" w:rsidRDefault="00A449F7" w:rsidP="00A449F7">
            <w:pPr>
              <w:contextualSpacing/>
              <w:jc w:val="center"/>
              <w:rPr>
                <w:rFonts w:ascii="Times New Roman" w:hAnsi="Times New Roman" w:cs="Times New Roman"/>
                <w:b/>
                <w:bCs/>
                <w:sz w:val="16"/>
                <w:szCs w:val="16"/>
              </w:rPr>
            </w:pPr>
            <w:r w:rsidRPr="003576FF">
              <w:rPr>
                <w:rFonts w:ascii="Times New Roman" w:hAnsi="Times New Roman" w:cs="Times New Roman"/>
                <w:b/>
                <w:bCs/>
                <w:sz w:val="16"/>
                <w:szCs w:val="16"/>
              </w:rPr>
              <w:t>2017</w:t>
            </w:r>
          </w:p>
        </w:tc>
        <w:tc>
          <w:tcPr>
            <w:tcW w:w="656" w:type="dxa"/>
            <w:vMerge w:val="restart"/>
            <w:noWrap/>
            <w:vAlign w:val="center"/>
            <w:hideMark/>
          </w:tcPr>
          <w:p w:rsidR="00A449F7" w:rsidRPr="003576FF" w:rsidRDefault="00A449F7" w:rsidP="00A449F7">
            <w:pPr>
              <w:contextualSpacing/>
              <w:jc w:val="center"/>
              <w:rPr>
                <w:rFonts w:ascii="Times New Roman" w:hAnsi="Times New Roman" w:cs="Times New Roman"/>
                <w:b/>
                <w:bCs/>
                <w:sz w:val="16"/>
                <w:szCs w:val="16"/>
              </w:rPr>
            </w:pPr>
            <w:r w:rsidRPr="003576FF">
              <w:rPr>
                <w:rFonts w:ascii="Times New Roman" w:hAnsi="Times New Roman" w:cs="Times New Roman"/>
                <w:b/>
                <w:bCs/>
                <w:sz w:val="16"/>
                <w:szCs w:val="16"/>
              </w:rPr>
              <w:t>2018</w:t>
            </w:r>
          </w:p>
        </w:tc>
        <w:tc>
          <w:tcPr>
            <w:tcW w:w="684" w:type="dxa"/>
            <w:vMerge w:val="restart"/>
            <w:noWrap/>
            <w:vAlign w:val="center"/>
            <w:hideMark/>
          </w:tcPr>
          <w:p w:rsidR="00A449F7" w:rsidRPr="003576FF" w:rsidRDefault="00A449F7" w:rsidP="00A449F7">
            <w:pPr>
              <w:contextualSpacing/>
              <w:jc w:val="center"/>
              <w:rPr>
                <w:rFonts w:ascii="Times New Roman" w:hAnsi="Times New Roman" w:cs="Times New Roman"/>
                <w:b/>
                <w:bCs/>
                <w:sz w:val="16"/>
                <w:szCs w:val="16"/>
              </w:rPr>
            </w:pPr>
            <w:r w:rsidRPr="003576FF">
              <w:rPr>
                <w:rFonts w:ascii="Times New Roman" w:hAnsi="Times New Roman" w:cs="Times New Roman"/>
                <w:b/>
                <w:bCs/>
                <w:sz w:val="16"/>
                <w:szCs w:val="16"/>
              </w:rPr>
              <w:t>2019</w:t>
            </w:r>
          </w:p>
        </w:tc>
        <w:tc>
          <w:tcPr>
            <w:tcW w:w="663" w:type="dxa"/>
            <w:vMerge w:val="restart"/>
            <w:noWrap/>
            <w:vAlign w:val="center"/>
            <w:hideMark/>
          </w:tcPr>
          <w:p w:rsidR="00A449F7" w:rsidRPr="003576FF" w:rsidRDefault="00A449F7" w:rsidP="00A449F7">
            <w:pPr>
              <w:contextualSpacing/>
              <w:jc w:val="center"/>
              <w:rPr>
                <w:rFonts w:ascii="Times New Roman" w:hAnsi="Times New Roman" w:cs="Times New Roman"/>
                <w:b/>
                <w:bCs/>
                <w:sz w:val="16"/>
                <w:szCs w:val="16"/>
              </w:rPr>
            </w:pPr>
            <w:r w:rsidRPr="003576FF">
              <w:rPr>
                <w:rFonts w:ascii="Times New Roman" w:hAnsi="Times New Roman" w:cs="Times New Roman"/>
                <w:b/>
                <w:bCs/>
                <w:sz w:val="16"/>
                <w:szCs w:val="16"/>
              </w:rPr>
              <w:t>2020</w:t>
            </w:r>
          </w:p>
        </w:tc>
      </w:tr>
      <w:tr w:rsidR="00A449F7" w:rsidRPr="003576FF" w:rsidTr="005074B4">
        <w:trPr>
          <w:trHeight w:val="184"/>
          <w:jc w:val="center"/>
        </w:trPr>
        <w:tc>
          <w:tcPr>
            <w:tcW w:w="2963" w:type="dxa"/>
            <w:vMerge/>
            <w:vAlign w:val="center"/>
            <w:hideMark/>
          </w:tcPr>
          <w:p w:rsidR="00A449F7" w:rsidRPr="003576FF" w:rsidRDefault="00A449F7" w:rsidP="00A449F7">
            <w:pPr>
              <w:jc w:val="center"/>
              <w:rPr>
                <w:rFonts w:ascii="Times New Roman" w:hAnsi="Times New Roman" w:cs="Times New Roman"/>
                <w:sz w:val="16"/>
                <w:szCs w:val="16"/>
              </w:rPr>
            </w:pPr>
          </w:p>
        </w:tc>
        <w:tc>
          <w:tcPr>
            <w:tcW w:w="769" w:type="dxa"/>
            <w:vMerge/>
            <w:vAlign w:val="center"/>
            <w:hideMark/>
          </w:tcPr>
          <w:p w:rsidR="00A449F7" w:rsidRPr="003576FF" w:rsidRDefault="00A449F7" w:rsidP="00A449F7">
            <w:pPr>
              <w:jc w:val="center"/>
              <w:rPr>
                <w:rFonts w:ascii="Times New Roman" w:hAnsi="Times New Roman" w:cs="Times New Roman"/>
                <w:b/>
                <w:bCs/>
                <w:sz w:val="16"/>
                <w:szCs w:val="16"/>
              </w:rPr>
            </w:pPr>
          </w:p>
        </w:tc>
        <w:tc>
          <w:tcPr>
            <w:tcW w:w="656" w:type="dxa"/>
            <w:vMerge/>
            <w:vAlign w:val="center"/>
            <w:hideMark/>
          </w:tcPr>
          <w:p w:rsidR="00A449F7" w:rsidRPr="003576FF" w:rsidRDefault="00A449F7" w:rsidP="00A449F7">
            <w:pPr>
              <w:jc w:val="center"/>
              <w:rPr>
                <w:rFonts w:ascii="Times New Roman" w:hAnsi="Times New Roman" w:cs="Times New Roman"/>
                <w:b/>
                <w:bCs/>
                <w:sz w:val="16"/>
                <w:szCs w:val="16"/>
              </w:rPr>
            </w:pPr>
          </w:p>
        </w:tc>
        <w:tc>
          <w:tcPr>
            <w:tcW w:w="656" w:type="dxa"/>
            <w:vMerge/>
            <w:vAlign w:val="center"/>
            <w:hideMark/>
          </w:tcPr>
          <w:p w:rsidR="00A449F7" w:rsidRPr="003576FF" w:rsidRDefault="00A449F7" w:rsidP="00A449F7">
            <w:pPr>
              <w:jc w:val="center"/>
              <w:rPr>
                <w:rFonts w:ascii="Times New Roman" w:hAnsi="Times New Roman" w:cs="Times New Roman"/>
                <w:b/>
                <w:bCs/>
                <w:sz w:val="16"/>
                <w:szCs w:val="16"/>
              </w:rPr>
            </w:pPr>
          </w:p>
        </w:tc>
        <w:tc>
          <w:tcPr>
            <w:tcW w:w="707" w:type="dxa"/>
            <w:vMerge/>
            <w:vAlign w:val="center"/>
            <w:hideMark/>
          </w:tcPr>
          <w:p w:rsidR="00A449F7" w:rsidRPr="003576FF" w:rsidRDefault="00A449F7" w:rsidP="00A449F7">
            <w:pPr>
              <w:jc w:val="center"/>
              <w:rPr>
                <w:rFonts w:ascii="Times New Roman" w:hAnsi="Times New Roman" w:cs="Times New Roman"/>
                <w:b/>
                <w:bCs/>
                <w:sz w:val="16"/>
                <w:szCs w:val="16"/>
              </w:rPr>
            </w:pPr>
          </w:p>
        </w:tc>
        <w:tc>
          <w:tcPr>
            <w:tcW w:w="656" w:type="dxa"/>
            <w:vMerge/>
            <w:vAlign w:val="center"/>
            <w:hideMark/>
          </w:tcPr>
          <w:p w:rsidR="00A449F7" w:rsidRPr="003576FF" w:rsidRDefault="00A449F7" w:rsidP="00A449F7">
            <w:pPr>
              <w:jc w:val="center"/>
              <w:rPr>
                <w:rFonts w:ascii="Times New Roman" w:hAnsi="Times New Roman" w:cs="Times New Roman"/>
                <w:b/>
                <w:bCs/>
                <w:sz w:val="16"/>
                <w:szCs w:val="16"/>
              </w:rPr>
            </w:pPr>
          </w:p>
        </w:tc>
        <w:tc>
          <w:tcPr>
            <w:tcW w:w="656" w:type="dxa"/>
            <w:vMerge/>
            <w:vAlign w:val="center"/>
            <w:hideMark/>
          </w:tcPr>
          <w:p w:rsidR="00A449F7" w:rsidRPr="003576FF" w:rsidRDefault="00A449F7" w:rsidP="00A449F7">
            <w:pPr>
              <w:jc w:val="center"/>
              <w:rPr>
                <w:rFonts w:ascii="Times New Roman" w:hAnsi="Times New Roman" w:cs="Times New Roman"/>
                <w:b/>
                <w:bCs/>
                <w:sz w:val="16"/>
                <w:szCs w:val="16"/>
              </w:rPr>
            </w:pPr>
          </w:p>
        </w:tc>
        <w:tc>
          <w:tcPr>
            <w:tcW w:w="656" w:type="dxa"/>
            <w:vMerge/>
            <w:vAlign w:val="center"/>
            <w:hideMark/>
          </w:tcPr>
          <w:p w:rsidR="00A449F7" w:rsidRPr="003576FF" w:rsidRDefault="00A449F7" w:rsidP="00A449F7">
            <w:pPr>
              <w:jc w:val="center"/>
              <w:rPr>
                <w:rFonts w:ascii="Times New Roman" w:hAnsi="Times New Roman" w:cs="Times New Roman"/>
                <w:b/>
                <w:bCs/>
                <w:sz w:val="16"/>
                <w:szCs w:val="16"/>
              </w:rPr>
            </w:pPr>
          </w:p>
        </w:tc>
        <w:tc>
          <w:tcPr>
            <w:tcW w:w="684" w:type="dxa"/>
            <w:vMerge/>
            <w:vAlign w:val="center"/>
            <w:hideMark/>
          </w:tcPr>
          <w:p w:rsidR="00A449F7" w:rsidRPr="003576FF" w:rsidRDefault="00A449F7" w:rsidP="00A449F7">
            <w:pPr>
              <w:jc w:val="center"/>
              <w:rPr>
                <w:rFonts w:ascii="Times New Roman" w:hAnsi="Times New Roman" w:cs="Times New Roman"/>
                <w:b/>
                <w:bCs/>
                <w:sz w:val="16"/>
                <w:szCs w:val="16"/>
              </w:rPr>
            </w:pPr>
          </w:p>
        </w:tc>
        <w:tc>
          <w:tcPr>
            <w:tcW w:w="663" w:type="dxa"/>
            <w:vMerge/>
            <w:vAlign w:val="center"/>
            <w:hideMark/>
          </w:tcPr>
          <w:p w:rsidR="00A449F7" w:rsidRPr="003576FF" w:rsidRDefault="00A449F7" w:rsidP="00A449F7">
            <w:pPr>
              <w:jc w:val="center"/>
              <w:rPr>
                <w:rFonts w:ascii="Times New Roman" w:hAnsi="Times New Roman" w:cs="Times New Roman"/>
                <w:b/>
                <w:bCs/>
                <w:sz w:val="16"/>
                <w:szCs w:val="16"/>
              </w:rPr>
            </w:pPr>
          </w:p>
        </w:tc>
      </w:tr>
      <w:tr w:rsidR="00A449F7" w:rsidRPr="003576FF" w:rsidTr="005074B4">
        <w:trPr>
          <w:trHeight w:val="521"/>
          <w:jc w:val="center"/>
        </w:trPr>
        <w:tc>
          <w:tcPr>
            <w:tcW w:w="2963" w:type="dxa"/>
            <w:vAlign w:val="center"/>
            <w:hideMark/>
          </w:tcPr>
          <w:p w:rsidR="00A449F7" w:rsidRPr="003576FF" w:rsidRDefault="00A449F7" w:rsidP="00A449F7">
            <w:pPr>
              <w:rPr>
                <w:rFonts w:ascii="Times New Roman" w:hAnsi="Times New Roman" w:cs="Times New Roman"/>
                <w:b/>
                <w:sz w:val="16"/>
                <w:szCs w:val="16"/>
              </w:rPr>
            </w:pPr>
            <w:r w:rsidRPr="003576FF">
              <w:rPr>
                <w:rFonts w:ascii="Times New Roman" w:hAnsi="Times New Roman" w:cs="Times New Roman"/>
                <w:b/>
                <w:sz w:val="16"/>
                <w:szCs w:val="16"/>
              </w:rPr>
              <w:t>Συγγραφείς, δημοσιογράφοι και επαγγελματίες του γλωσσικού το</w:t>
            </w:r>
            <w:r w:rsidR="00C904ED" w:rsidRPr="003576FF">
              <w:rPr>
                <w:rFonts w:ascii="Times New Roman" w:hAnsi="Times New Roman" w:cs="Times New Roman"/>
                <w:b/>
                <w:sz w:val="16"/>
                <w:szCs w:val="16"/>
              </w:rPr>
              <w:t>μέα</w:t>
            </w:r>
          </w:p>
        </w:tc>
        <w:tc>
          <w:tcPr>
            <w:tcW w:w="769"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15</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670</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15</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044</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14</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782</w:t>
            </w:r>
          </w:p>
        </w:tc>
        <w:tc>
          <w:tcPr>
            <w:tcW w:w="707"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15</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055</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15</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137</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15</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315</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15</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360</w:t>
            </w:r>
          </w:p>
        </w:tc>
        <w:tc>
          <w:tcPr>
            <w:tcW w:w="684"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15</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422</w:t>
            </w:r>
          </w:p>
        </w:tc>
        <w:tc>
          <w:tcPr>
            <w:tcW w:w="663"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15</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604</w:t>
            </w:r>
          </w:p>
        </w:tc>
      </w:tr>
      <w:tr w:rsidR="00A449F7" w:rsidRPr="003576FF" w:rsidTr="005074B4">
        <w:trPr>
          <w:trHeight w:val="350"/>
          <w:jc w:val="center"/>
        </w:trPr>
        <w:tc>
          <w:tcPr>
            <w:tcW w:w="2963" w:type="dxa"/>
            <w:vAlign w:val="center"/>
            <w:hideMark/>
          </w:tcPr>
          <w:p w:rsidR="00A449F7" w:rsidRPr="003576FF" w:rsidRDefault="00A449F7" w:rsidP="00A449F7">
            <w:pPr>
              <w:rPr>
                <w:rFonts w:ascii="Times New Roman" w:hAnsi="Times New Roman" w:cs="Times New Roman"/>
                <w:b/>
                <w:sz w:val="16"/>
                <w:szCs w:val="16"/>
              </w:rPr>
            </w:pPr>
            <w:r w:rsidRPr="003576FF">
              <w:rPr>
                <w:rFonts w:ascii="Times New Roman" w:hAnsi="Times New Roman" w:cs="Times New Roman"/>
                <w:b/>
                <w:sz w:val="16"/>
                <w:szCs w:val="16"/>
              </w:rPr>
              <w:t>Καλλιτέχνες εν γένει</w:t>
            </w:r>
          </w:p>
        </w:tc>
        <w:tc>
          <w:tcPr>
            <w:tcW w:w="769"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12</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884</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12</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430</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12</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194</w:t>
            </w:r>
          </w:p>
        </w:tc>
        <w:tc>
          <w:tcPr>
            <w:tcW w:w="707"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12</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407</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12</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526</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12</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698</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12</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762</w:t>
            </w:r>
          </w:p>
        </w:tc>
        <w:tc>
          <w:tcPr>
            <w:tcW w:w="684"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12</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865</w:t>
            </w:r>
          </w:p>
        </w:tc>
        <w:tc>
          <w:tcPr>
            <w:tcW w:w="663"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13</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071</w:t>
            </w:r>
          </w:p>
        </w:tc>
      </w:tr>
      <w:tr w:rsidR="00A449F7" w:rsidRPr="003576FF" w:rsidTr="005074B4">
        <w:trPr>
          <w:trHeight w:val="413"/>
          <w:jc w:val="center"/>
        </w:trPr>
        <w:tc>
          <w:tcPr>
            <w:tcW w:w="2963" w:type="dxa"/>
            <w:vAlign w:val="center"/>
            <w:hideMark/>
          </w:tcPr>
          <w:p w:rsidR="00A449F7" w:rsidRPr="003576FF" w:rsidRDefault="00A449F7" w:rsidP="00A449F7">
            <w:pPr>
              <w:rPr>
                <w:rFonts w:ascii="Times New Roman" w:hAnsi="Times New Roman" w:cs="Times New Roman"/>
                <w:b/>
                <w:sz w:val="16"/>
                <w:szCs w:val="16"/>
              </w:rPr>
            </w:pPr>
            <w:proofErr w:type="spellStart"/>
            <w:r w:rsidRPr="003576FF">
              <w:rPr>
                <w:rFonts w:ascii="Times New Roman" w:hAnsi="Times New Roman" w:cs="Times New Roman"/>
                <w:b/>
                <w:sz w:val="16"/>
                <w:szCs w:val="16"/>
              </w:rPr>
              <w:t>Eπαγγελματίες</w:t>
            </w:r>
            <w:proofErr w:type="spellEnd"/>
            <w:r w:rsidRPr="003576FF">
              <w:rPr>
                <w:rFonts w:ascii="Times New Roman" w:hAnsi="Times New Roman" w:cs="Times New Roman"/>
                <w:b/>
                <w:sz w:val="16"/>
                <w:szCs w:val="16"/>
              </w:rPr>
              <w:t xml:space="preserve"> του καλλιτεχνικού και πολιτιστικού τομέα</w:t>
            </w:r>
          </w:p>
        </w:tc>
        <w:tc>
          <w:tcPr>
            <w:tcW w:w="769"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15</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170</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14</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210</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14</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017</w:t>
            </w:r>
          </w:p>
        </w:tc>
        <w:tc>
          <w:tcPr>
            <w:tcW w:w="707"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14</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296</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14</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354</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14</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472</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14</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483</w:t>
            </w:r>
          </w:p>
        </w:tc>
        <w:tc>
          <w:tcPr>
            <w:tcW w:w="684"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14</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466</w:t>
            </w:r>
          </w:p>
        </w:tc>
        <w:tc>
          <w:tcPr>
            <w:tcW w:w="663"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14</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559</w:t>
            </w:r>
          </w:p>
        </w:tc>
      </w:tr>
      <w:tr w:rsidR="00A449F7" w:rsidRPr="003576FF" w:rsidTr="008B2FAA">
        <w:trPr>
          <w:trHeight w:val="389"/>
          <w:jc w:val="center"/>
        </w:trPr>
        <w:tc>
          <w:tcPr>
            <w:tcW w:w="2963" w:type="dxa"/>
            <w:vAlign w:val="center"/>
            <w:hideMark/>
          </w:tcPr>
          <w:p w:rsidR="00A449F7" w:rsidRPr="003576FF" w:rsidRDefault="00A449F7" w:rsidP="00A449F7">
            <w:pPr>
              <w:rPr>
                <w:rFonts w:ascii="Times New Roman" w:hAnsi="Times New Roman" w:cs="Times New Roman"/>
                <w:b/>
                <w:sz w:val="16"/>
                <w:szCs w:val="16"/>
              </w:rPr>
            </w:pPr>
            <w:r w:rsidRPr="003576FF">
              <w:rPr>
                <w:rFonts w:ascii="Times New Roman" w:hAnsi="Times New Roman" w:cs="Times New Roman"/>
                <w:b/>
                <w:sz w:val="16"/>
                <w:szCs w:val="16"/>
              </w:rPr>
              <w:t>Χειροτέχνες</w:t>
            </w:r>
          </w:p>
        </w:tc>
        <w:tc>
          <w:tcPr>
            <w:tcW w:w="769"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6</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976</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7</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210</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7</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057</w:t>
            </w:r>
          </w:p>
        </w:tc>
        <w:tc>
          <w:tcPr>
            <w:tcW w:w="707"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7</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190</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7</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248</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7</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331</w:t>
            </w:r>
          </w:p>
        </w:tc>
        <w:tc>
          <w:tcPr>
            <w:tcW w:w="656"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7</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328</w:t>
            </w:r>
          </w:p>
        </w:tc>
        <w:tc>
          <w:tcPr>
            <w:tcW w:w="684"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7</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311</w:t>
            </w:r>
          </w:p>
        </w:tc>
        <w:tc>
          <w:tcPr>
            <w:tcW w:w="663" w:type="dxa"/>
            <w:noWrap/>
            <w:vAlign w:val="center"/>
            <w:hideMark/>
          </w:tcPr>
          <w:p w:rsidR="00A449F7" w:rsidRPr="003576FF" w:rsidRDefault="00A449F7" w:rsidP="00A449F7">
            <w:pPr>
              <w:jc w:val="center"/>
              <w:rPr>
                <w:rFonts w:ascii="Times New Roman" w:hAnsi="Times New Roman" w:cs="Times New Roman"/>
                <w:sz w:val="16"/>
                <w:szCs w:val="16"/>
              </w:rPr>
            </w:pPr>
            <w:r w:rsidRPr="003576FF">
              <w:rPr>
                <w:rFonts w:ascii="Times New Roman" w:hAnsi="Times New Roman" w:cs="Times New Roman"/>
                <w:sz w:val="16"/>
                <w:szCs w:val="16"/>
              </w:rPr>
              <w:t>7</w:t>
            </w:r>
            <w:r w:rsidR="00777FC4" w:rsidRPr="003576FF">
              <w:rPr>
                <w:rFonts w:ascii="Times New Roman" w:hAnsi="Times New Roman" w:cs="Times New Roman"/>
                <w:sz w:val="16"/>
                <w:szCs w:val="16"/>
              </w:rPr>
              <w:t>.</w:t>
            </w:r>
            <w:r w:rsidRPr="003576FF">
              <w:rPr>
                <w:rFonts w:ascii="Times New Roman" w:hAnsi="Times New Roman" w:cs="Times New Roman"/>
                <w:sz w:val="16"/>
                <w:szCs w:val="16"/>
              </w:rPr>
              <w:t>328</w:t>
            </w:r>
          </w:p>
        </w:tc>
      </w:tr>
    </w:tbl>
    <w:p w:rsidR="001F00E0" w:rsidRPr="007E2F86" w:rsidRDefault="001F00E0" w:rsidP="00C91C38">
      <w:pPr>
        <w:spacing w:after="0" w:line="360" w:lineRule="auto"/>
        <w:jc w:val="both"/>
        <w:rPr>
          <w:rFonts w:ascii="Times New Roman" w:hAnsi="Times New Roman"/>
          <w:sz w:val="18"/>
          <w:szCs w:val="18"/>
          <w:lang w:val="en-US"/>
        </w:rPr>
      </w:pPr>
      <w:r w:rsidRPr="00DD2795">
        <w:rPr>
          <w:rFonts w:ascii="Times New Roman" w:hAnsi="Times New Roman"/>
          <w:b/>
          <w:sz w:val="18"/>
          <w:szCs w:val="18"/>
        </w:rPr>
        <w:t>Πηγή</w:t>
      </w:r>
      <w:r w:rsidRPr="00DD2795">
        <w:rPr>
          <w:rFonts w:ascii="Times New Roman" w:hAnsi="Times New Roman"/>
          <w:b/>
          <w:sz w:val="18"/>
          <w:szCs w:val="18"/>
          <w:lang w:val="en-US"/>
        </w:rPr>
        <w:t xml:space="preserve">: </w:t>
      </w:r>
      <w:r w:rsidRPr="00DD2795">
        <w:rPr>
          <w:rFonts w:ascii="Times New Roman" w:hAnsi="Times New Roman"/>
          <w:sz w:val="18"/>
          <w:szCs w:val="18"/>
          <w:lang w:val="en-US"/>
        </w:rPr>
        <w:t>Petrakis P.E.</w:t>
      </w:r>
      <w:r>
        <w:rPr>
          <w:rFonts w:ascii="Times New Roman" w:hAnsi="Times New Roman"/>
          <w:sz w:val="18"/>
          <w:szCs w:val="18"/>
          <w:lang w:val="en-US"/>
        </w:rPr>
        <w:t xml:space="preserve"> (Ed.)</w:t>
      </w:r>
      <w:r w:rsidRPr="00DD2795">
        <w:rPr>
          <w:rFonts w:ascii="Times New Roman" w:hAnsi="Times New Roman"/>
          <w:sz w:val="18"/>
          <w:szCs w:val="18"/>
          <w:lang w:val="en-US"/>
        </w:rPr>
        <w:t xml:space="preserve"> (2014)</w:t>
      </w:r>
      <w:r w:rsidRPr="00DD2795">
        <w:rPr>
          <w:rFonts w:ascii="Times New Roman" w:hAnsi="Times New Roman"/>
          <w:b/>
          <w:sz w:val="18"/>
          <w:szCs w:val="18"/>
          <w:lang w:val="en-US"/>
        </w:rPr>
        <w:t xml:space="preserve"> </w:t>
      </w:r>
      <w:proofErr w:type="gramStart"/>
      <w:r w:rsidRPr="00DD2795">
        <w:rPr>
          <w:rFonts w:ascii="Times New Roman" w:hAnsi="Times New Roman"/>
          <w:sz w:val="18"/>
          <w:szCs w:val="18"/>
          <w:lang w:val="en-US"/>
        </w:rPr>
        <w:t>The</w:t>
      </w:r>
      <w:proofErr w:type="gramEnd"/>
      <w:r w:rsidRPr="00DD2795">
        <w:rPr>
          <w:rFonts w:ascii="Times New Roman" w:hAnsi="Times New Roman"/>
          <w:sz w:val="18"/>
          <w:szCs w:val="18"/>
          <w:lang w:val="en-US"/>
        </w:rPr>
        <w:t xml:space="preserve"> Rebirth of the Greek Labor Market. </w:t>
      </w:r>
      <w:proofErr w:type="gramStart"/>
      <w:r w:rsidRPr="00DD2795">
        <w:rPr>
          <w:rFonts w:ascii="Times New Roman" w:hAnsi="Times New Roman"/>
          <w:sz w:val="18"/>
          <w:szCs w:val="18"/>
          <w:lang w:val="en-US"/>
        </w:rPr>
        <w:t>Building</w:t>
      </w:r>
      <w:r w:rsidRPr="007E2F86">
        <w:rPr>
          <w:rFonts w:ascii="Times New Roman" w:hAnsi="Times New Roman"/>
          <w:sz w:val="18"/>
          <w:szCs w:val="18"/>
          <w:lang w:val="en-US"/>
        </w:rPr>
        <w:t xml:space="preserve"> </w:t>
      </w:r>
      <w:r w:rsidRPr="00DD2795">
        <w:rPr>
          <w:rFonts w:ascii="Times New Roman" w:hAnsi="Times New Roman"/>
          <w:sz w:val="18"/>
          <w:szCs w:val="18"/>
          <w:lang w:val="en-US"/>
        </w:rPr>
        <w:t>Toward</w:t>
      </w:r>
      <w:r w:rsidRPr="007E2F86">
        <w:rPr>
          <w:rFonts w:ascii="Times New Roman" w:hAnsi="Times New Roman"/>
          <w:sz w:val="18"/>
          <w:szCs w:val="18"/>
          <w:lang w:val="en-US"/>
        </w:rPr>
        <w:t xml:space="preserve"> 2020.</w:t>
      </w:r>
      <w:proofErr w:type="gramEnd"/>
      <w:r w:rsidRPr="007E2F86">
        <w:rPr>
          <w:rFonts w:ascii="Times New Roman" w:hAnsi="Times New Roman"/>
          <w:sz w:val="18"/>
          <w:szCs w:val="18"/>
          <w:lang w:val="en-US"/>
        </w:rPr>
        <w:t xml:space="preserve"> </w:t>
      </w:r>
      <w:proofErr w:type="gramStart"/>
      <w:r w:rsidRPr="00DD2795">
        <w:rPr>
          <w:rFonts w:ascii="Times New Roman" w:hAnsi="Times New Roman"/>
          <w:sz w:val="18"/>
          <w:szCs w:val="18"/>
          <w:lang w:val="en-US"/>
        </w:rPr>
        <w:t>After</w:t>
      </w:r>
      <w:r w:rsidRPr="007E2F86">
        <w:rPr>
          <w:rFonts w:ascii="Times New Roman" w:hAnsi="Times New Roman"/>
          <w:sz w:val="18"/>
          <w:szCs w:val="18"/>
          <w:lang w:val="en-US"/>
        </w:rPr>
        <w:t xml:space="preserve"> </w:t>
      </w:r>
      <w:r w:rsidRPr="00DD2795">
        <w:rPr>
          <w:rFonts w:ascii="Times New Roman" w:hAnsi="Times New Roman"/>
          <w:sz w:val="18"/>
          <w:szCs w:val="18"/>
          <w:lang w:val="en-US"/>
        </w:rPr>
        <w:t>the</w:t>
      </w:r>
      <w:r w:rsidRPr="007E2F86">
        <w:rPr>
          <w:rFonts w:ascii="Times New Roman" w:hAnsi="Times New Roman"/>
          <w:sz w:val="18"/>
          <w:szCs w:val="18"/>
          <w:lang w:val="en-US"/>
        </w:rPr>
        <w:t xml:space="preserve"> </w:t>
      </w:r>
      <w:r w:rsidRPr="00DD2795">
        <w:rPr>
          <w:rFonts w:ascii="Times New Roman" w:hAnsi="Times New Roman"/>
          <w:sz w:val="18"/>
          <w:szCs w:val="18"/>
          <w:lang w:val="en-US"/>
        </w:rPr>
        <w:t>Global</w:t>
      </w:r>
      <w:r w:rsidRPr="007E2F86">
        <w:rPr>
          <w:rFonts w:ascii="Times New Roman" w:hAnsi="Times New Roman"/>
          <w:sz w:val="18"/>
          <w:szCs w:val="18"/>
          <w:lang w:val="en-US"/>
        </w:rPr>
        <w:t xml:space="preserve"> </w:t>
      </w:r>
      <w:r w:rsidRPr="00DD2795">
        <w:rPr>
          <w:rFonts w:ascii="Times New Roman" w:hAnsi="Times New Roman"/>
          <w:sz w:val="18"/>
          <w:szCs w:val="18"/>
          <w:lang w:val="en-US"/>
        </w:rPr>
        <w:t>Financial</w:t>
      </w:r>
      <w:r w:rsidRPr="007E2F86">
        <w:rPr>
          <w:rFonts w:ascii="Times New Roman" w:hAnsi="Times New Roman"/>
          <w:sz w:val="18"/>
          <w:szCs w:val="18"/>
          <w:lang w:val="en-US"/>
        </w:rPr>
        <w:t xml:space="preserve"> </w:t>
      </w:r>
      <w:r w:rsidRPr="00DD2795">
        <w:rPr>
          <w:rFonts w:ascii="Times New Roman" w:hAnsi="Times New Roman"/>
          <w:sz w:val="18"/>
          <w:szCs w:val="18"/>
          <w:lang w:val="en-US"/>
        </w:rPr>
        <w:t>Meltdown</w:t>
      </w:r>
      <w:r w:rsidRPr="007E2F86">
        <w:rPr>
          <w:rFonts w:ascii="Times New Roman" w:hAnsi="Times New Roman"/>
          <w:sz w:val="18"/>
          <w:szCs w:val="18"/>
          <w:lang w:val="en-US"/>
        </w:rPr>
        <w:t xml:space="preserve">, </w:t>
      </w:r>
      <w:r w:rsidRPr="00DD2795">
        <w:rPr>
          <w:rFonts w:ascii="Times New Roman" w:hAnsi="Times New Roman"/>
          <w:sz w:val="18"/>
          <w:szCs w:val="18"/>
          <w:lang w:val="en-US"/>
        </w:rPr>
        <w:t>Palgrave</w:t>
      </w:r>
      <w:r w:rsidRPr="007E2F86">
        <w:rPr>
          <w:rFonts w:ascii="Times New Roman" w:hAnsi="Times New Roman"/>
          <w:sz w:val="18"/>
          <w:szCs w:val="18"/>
          <w:lang w:val="en-US"/>
        </w:rPr>
        <w:t xml:space="preserve"> </w:t>
      </w:r>
      <w:r w:rsidRPr="00DD2795">
        <w:rPr>
          <w:rFonts w:ascii="Times New Roman" w:hAnsi="Times New Roman"/>
          <w:sz w:val="18"/>
          <w:szCs w:val="18"/>
          <w:lang w:val="en-US"/>
        </w:rPr>
        <w:t>McMillan</w:t>
      </w:r>
      <w:r w:rsidRPr="005074B4">
        <w:rPr>
          <w:rFonts w:ascii="Times New Roman" w:hAnsi="Times New Roman"/>
          <w:sz w:val="18"/>
          <w:szCs w:val="18"/>
          <w:lang w:val="en-US"/>
        </w:rPr>
        <w:t>.</w:t>
      </w:r>
      <w:proofErr w:type="gramEnd"/>
      <w:r w:rsidR="005074B4" w:rsidRPr="005074B4">
        <w:rPr>
          <w:rFonts w:ascii="Times New Roman" w:hAnsi="Times New Roman"/>
          <w:sz w:val="18"/>
          <w:szCs w:val="18"/>
          <w:lang w:val="en-US"/>
        </w:rPr>
        <w:t xml:space="preserve"> </w:t>
      </w:r>
      <w:r w:rsidR="005074B4">
        <w:rPr>
          <w:rFonts w:ascii="Times New Roman" w:hAnsi="Times New Roman"/>
          <w:sz w:val="18"/>
          <w:szCs w:val="18"/>
        </w:rPr>
        <w:t>Γ</w:t>
      </w:r>
      <w:r w:rsidR="005074B4" w:rsidRPr="005074B4">
        <w:rPr>
          <w:rFonts w:ascii="Times New Roman" w:hAnsi="Times New Roman"/>
          <w:sz w:val="18"/>
          <w:szCs w:val="18"/>
          <w:lang w:val="en-US"/>
        </w:rPr>
        <w:t>ια π</w:t>
      </w:r>
      <w:proofErr w:type="spellStart"/>
      <w:r w:rsidR="005074B4" w:rsidRPr="005074B4">
        <w:rPr>
          <w:rFonts w:ascii="Times New Roman" w:hAnsi="Times New Roman"/>
          <w:sz w:val="18"/>
          <w:szCs w:val="18"/>
          <w:lang w:val="en-US"/>
        </w:rPr>
        <w:t>ερισσότερες</w:t>
      </w:r>
      <w:proofErr w:type="spellEnd"/>
      <w:r w:rsidR="005074B4" w:rsidRPr="005074B4">
        <w:rPr>
          <w:rFonts w:ascii="Times New Roman" w:hAnsi="Times New Roman"/>
          <w:sz w:val="18"/>
          <w:szCs w:val="18"/>
          <w:lang w:val="en-US"/>
        </w:rPr>
        <w:t xml:space="preserve"> π</w:t>
      </w:r>
      <w:proofErr w:type="spellStart"/>
      <w:r w:rsidR="005074B4" w:rsidRPr="005074B4">
        <w:rPr>
          <w:rFonts w:ascii="Times New Roman" w:hAnsi="Times New Roman"/>
          <w:sz w:val="18"/>
          <w:szCs w:val="18"/>
          <w:lang w:val="en-US"/>
        </w:rPr>
        <w:t>ληροφορίες</w:t>
      </w:r>
      <w:proofErr w:type="spellEnd"/>
      <w:r w:rsidR="005074B4" w:rsidRPr="005074B4">
        <w:rPr>
          <w:rFonts w:ascii="Times New Roman" w:hAnsi="Times New Roman"/>
          <w:sz w:val="18"/>
          <w:szCs w:val="18"/>
          <w:lang w:val="en-US"/>
        </w:rPr>
        <w:t xml:space="preserve"> πα</w:t>
      </w:r>
      <w:proofErr w:type="spellStart"/>
      <w:r w:rsidR="005074B4" w:rsidRPr="005074B4">
        <w:rPr>
          <w:rFonts w:ascii="Times New Roman" w:hAnsi="Times New Roman"/>
          <w:sz w:val="18"/>
          <w:szCs w:val="18"/>
          <w:lang w:val="en-US"/>
        </w:rPr>
        <w:t>τήστε</w:t>
      </w:r>
      <w:proofErr w:type="spellEnd"/>
      <w:r w:rsidR="005074B4" w:rsidRPr="005074B4">
        <w:rPr>
          <w:rFonts w:ascii="Times New Roman" w:hAnsi="Times New Roman"/>
          <w:sz w:val="18"/>
          <w:szCs w:val="18"/>
          <w:lang w:val="en-US"/>
        </w:rPr>
        <w:t xml:space="preserve"> </w:t>
      </w:r>
      <w:hyperlink r:id="rId7" w:history="1">
        <w:proofErr w:type="spellStart"/>
        <w:r w:rsidR="005074B4" w:rsidRPr="007E2F86">
          <w:rPr>
            <w:rStyle w:val="Hyperlink"/>
            <w:rFonts w:ascii="Times New Roman" w:hAnsi="Times New Roman"/>
            <w:sz w:val="18"/>
            <w:szCs w:val="18"/>
            <w:lang w:val="en-US"/>
          </w:rPr>
          <w:t>εδώ</w:t>
        </w:r>
        <w:proofErr w:type="spellEnd"/>
      </w:hyperlink>
      <w:r w:rsidR="005074B4" w:rsidRPr="007E2F86">
        <w:rPr>
          <w:rFonts w:ascii="Times New Roman" w:hAnsi="Times New Roman"/>
          <w:sz w:val="18"/>
          <w:szCs w:val="18"/>
          <w:lang w:val="en-US"/>
        </w:rPr>
        <w:t>.</w:t>
      </w:r>
    </w:p>
    <w:p w:rsidR="00275454" w:rsidRPr="007E2F86" w:rsidRDefault="00275454" w:rsidP="00C91C38">
      <w:pPr>
        <w:spacing w:after="0" w:line="360" w:lineRule="auto"/>
        <w:jc w:val="both"/>
        <w:rPr>
          <w:rFonts w:ascii="Times New Roman" w:hAnsi="Times New Roman"/>
          <w:sz w:val="18"/>
          <w:szCs w:val="18"/>
          <w:lang w:val="en-US"/>
        </w:rPr>
      </w:pPr>
    </w:p>
    <w:p w:rsidR="001F00E0" w:rsidRPr="009E41AF" w:rsidRDefault="00275454" w:rsidP="00C91C38">
      <w:pPr>
        <w:spacing w:after="0" w:line="360" w:lineRule="auto"/>
        <w:jc w:val="both"/>
        <w:rPr>
          <w:rFonts w:ascii="Times New Roman" w:hAnsi="Times New Roman" w:cs="Times New Roman"/>
          <w:b/>
          <w:sz w:val="20"/>
          <w:szCs w:val="20"/>
        </w:rPr>
      </w:pPr>
      <w:r w:rsidRPr="007E2F86">
        <w:rPr>
          <w:rFonts w:ascii="Times New Roman" w:hAnsi="Times New Roman"/>
          <w:sz w:val="24"/>
          <w:szCs w:val="24"/>
          <w:lang w:val="en-US"/>
        </w:rPr>
        <w:tab/>
      </w:r>
      <w:r w:rsidR="00C91C38">
        <w:rPr>
          <w:rFonts w:ascii="Times New Roman" w:hAnsi="Times New Roman"/>
          <w:sz w:val="24"/>
          <w:szCs w:val="24"/>
        </w:rPr>
        <w:t xml:space="preserve">Ο κλάδος του πολιτισμού γνώρισε μεταξύ άλλων κλάδων της ελληνικής οικονομίας σημαντικές πιέσεις κατά τη διάρκεια της κρίσης. Αυτό αποτυπώνεται από τη συρρίκνωση της απασχόλησης από το 2012 έως το 2014 σε βασικούς επαγγελματικούς κλάδους που είναι συνυφασμένοι με τον πολιτισμό. Η ανάκαμψη της απασχόλησης στα προ κρίσης επίπεδα αναμένεται να λάβει χώρα </w:t>
      </w:r>
      <w:r w:rsidR="00C904ED">
        <w:rPr>
          <w:rFonts w:ascii="Times New Roman" w:hAnsi="Times New Roman"/>
          <w:sz w:val="24"/>
          <w:szCs w:val="24"/>
        </w:rPr>
        <w:t xml:space="preserve">στους συγγραφείς, δημοσιογράφους </w:t>
      </w:r>
      <w:r w:rsidR="009E41AF">
        <w:rPr>
          <w:rFonts w:ascii="Times New Roman" w:hAnsi="Times New Roman"/>
          <w:sz w:val="24"/>
          <w:szCs w:val="24"/>
        </w:rPr>
        <w:t xml:space="preserve">και επαγγελματίες του γλωσσικού τομέα. Στον ευρύτερο τομέα των καλλιτεχνών αναμένουμε αύξηση της απασχόλησης κατά 5,36% από το 2015 έως το 2020. </w:t>
      </w:r>
      <w:r w:rsidR="00361979">
        <w:rPr>
          <w:rFonts w:ascii="Times New Roman" w:hAnsi="Times New Roman"/>
          <w:sz w:val="24"/>
          <w:szCs w:val="24"/>
        </w:rPr>
        <w:t>Αντίθετα, οι επαγγελματίες του καλλιτεχνικού και πολιτιστικού τομέα αναμένεται να μειωθούν από 15.170 το 2012 στις 14.559 το 2020, μείωση που μεταφράζεται σε 4,02 ποσοστιαίες μονάδες. Τέλος, θετικές είναι οι προβλέψεις για τους χειροτέχνες καθώς θα ανέλθουν στους 7.328 απασχολούμενους το 2020 έναντι 6.976 το 2012</w:t>
      </w:r>
      <w:r w:rsidR="00DC60DE">
        <w:rPr>
          <w:rFonts w:ascii="Times New Roman" w:hAnsi="Times New Roman"/>
          <w:sz w:val="24"/>
          <w:szCs w:val="24"/>
        </w:rPr>
        <w:t>.</w:t>
      </w:r>
    </w:p>
    <w:sectPr w:rsidR="001F00E0" w:rsidRPr="009E41AF" w:rsidSect="005074B4">
      <w:footerReference w:type="default" r:id="rId8"/>
      <w:pgSz w:w="11906" w:h="16838"/>
      <w:pgMar w:top="993" w:right="1800"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82" w:rsidRDefault="00914E82" w:rsidP="001C26A1">
      <w:pPr>
        <w:spacing w:after="0" w:line="240" w:lineRule="auto"/>
      </w:pPr>
      <w:r>
        <w:separator/>
      </w:r>
    </w:p>
  </w:endnote>
  <w:endnote w:type="continuationSeparator" w:id="0">
    <w:p w:rsidR="00914E82" w:rsidRDefault="00914E82" w:rsidP="001C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55641"/>
      <w:docPartObj>
        <w:docPartGallery w:val="Page Numbers (Bottom of Page)"/>
        <w:docPartUnique/>
      </w:docPartObj>
    </w:sdtPr>
    <w:sdtEndPr/>
    <w:sdtContent>
      <w:p w:rsidR="009E41AF" w:rsidRDefault="00914E82">
        <w:pPr>
          <w:pStyle w:val="Footer"/>
          <w:jc w:val="right"/>
        </w:pPr>
        <w:r>
          <w:fldChar w:fldCharType="begin"/>
        </w:r>
        <w:r>
          <w:instrText xml:space="preserve"> PAGE   \* MERGEFORMAT </w:instrText>
        </w:r>
        <w:r>
          <w:fldChar w:fldCharType="separate"/>
        </w:r>
        <w:r w:rsidR="0024645A">
          <w:rPr>
            <w:noProof/>
          </w:rPr>
          <w:t>1</w:t>
        </w:r>
        <w:r>
          <w:rPr>
            <w:noProof/>
          </w:rPr>
          <w:fldChar w:fldCharType="end"/>
        </w:r>
      </w:p>
    </w:sdtContent>
  </w:sdt>
  <w:p w:rsidR="009E41AF" w:rsidRDefault="009E4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82" w:rsidRDefault="00914E82" w:rsidP="001C26A1">
      <w:pPr>
        <w:spacing w:after="0" w:line="240" w:lineRule="auto"/>
      </w:pPr>
      <w:r>
        <w:separator/>
      </w:r>
    </w:p>
  </w:footnote>
  <w:footnote w:type="continuationSeparator" w:id="0">
    <w:p w:rsidR="00914E82" w:rsidRDefault="00914E82" w:rsidP="001C2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57"/>
    <w:rsid w:val="00073E5B"/>
    <w:rsid w:val="00093CC8"/>
    <w:rsid w:val="000A6886"/>
    <w:rsid w:val="000F381B"/>
    <w:rsid w:val="001179F9"/>
    <w:rsid w:val="001C26A1"/>
    <w:rsid w:val="001F00E0"/>
    <w:rsid w:val="001F74FE"/>
    <w:rsid w:val="0024645A"/>
    <w:rsid w:val="00262C5D"/>
    <w:rsid w:val="00275454"/>
    <w:rsid w:val="0029124F"/>
    <w:rsid w:val="003576FF"/>
    <w:rsid w:val="00361979"/>
    <w:rsid w:val="00361F58"/>
    <w:rsid w:val="00375257"/>
    <w:rsid w:val="00380985"/>
    <w:rsid w:val="003F73FA"/>
    <w:rsid w:val="00413155"/>
    <w:rsid w:val="00430FD9"/>
    <w:rsid w:val="004A12F1"/>
    <w:rsid w:val="004A20F6"/>
    <w:rsid w:val="004B6851"/>
    <w:rsid w:val="005074B4"/>
    <w:rsid w:val="00544B8B"/>
    <w:rsid w:val="005E3663"/>
    <w:rsid w:val="006052A9"/>
    <w:rsid w:val="006D70E1"/>
    <w:rsid w:val="006D7AC6"/>
    <w:rsid w:val="007566AA"/>
    <w:rsid w:val="00777FC4"/>
    <w:rsid w:val="00784CCE"/>
    <w:rsid w:val="007E2F86"/>
    <w:rsid w:val="007F68F5"/>
    <w:rsid w:val="008B0117"/>
    <w:rsid w:val="008B2FAA"/>
    <w:rsid w:val="00914E82"/>
    <w:rsid w:val="009302C2"/>
    <w:rsid w:val="0098359E"/>
    <w:rsid w:val="009E41AF"/>
    <w:rsid w:val="00A245F2"/>
    <w:rsid w:val="00A449F7"/>
    <w:rsid w:val="00B97E45"/>
    <w:rsid w:val="00C040DF"/>
    <w:rsid w:val="00C904ED"/>
    <w:rsid w:val="00C91C38"/>
    <w:rsid w:val="00C97507"/>
    <w:rsid w:val="00CC16AD"/>
    <w:rsid w:val="00DC60DE"/>
    <w:rsid w:val="00DE3819"/>
    <w:rsid w:val="00E94710"/>
    <w:rsid w:val="00F113D5"/>
    <w:rsid w:val="00FC79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0E0"/>
    <w:rPr>
      <w:color w:val="0000FF"/>
      <w:u w:val="single"/>
    </w:rPr>
  </w:style>
  <w:style w:type="table" w:styleId="TableGrid">
    <w:name w:val="Table Grid"/>
    <w:basedOn w:val="TableNormal"/>
    <w:uiPriority w:val="59"/>
    <w:rsid w:val="001F0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26A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C26A1"/>
  </w:style>
  <w:style w:type="paragraph" w:styleId="Footer">
    <w:name w:val="footer"/>
    <w:basedOn w:val="Normal"/>
    <w:link w:val="FooterChar"/>
    <w:uiPriority w:val="99"/>
    <w:unhideWhenUsed/>
    <w:rsid w:val="001C26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6A1"/>
  </w:style>
  <w:style w:type="character" w:styleId="FollowedHyperlink">
    <w:name w:val="FollowedHyperlink"/>
    <w:basedOn w:val="DefaultParagraphFont"/>
    <w:uiPriority w:val="99"/>
    <w:semiHidden/>
    <w:unhideWhenUsed/>
    <w:rsid w:val="00430F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0E0"/>
    <w:rPr>
      <w:color w:val="0000FF"/>
      <w:u w:val="single"/>
    </w:rPr>
  </w:style>
  <w:style w:type="table" w:styleId="TableGrid">
    <w:name w:val="Table Grid"/>
    <w:basedOn w:val="TableNormal"/>
    <w:uiPriority w:val="59"/>
    <w:rsid w:val="001F0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26A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C26A1"/>
  </w:style>
  <w:style w:type="paragraph" w:styleId="Footer">
    <w:name w:val="footer"/>
    <w:basedOn w:val="Normal"/>
    <w:link w:val="FooterChar"/>
    <w:uiPriority w:val="99"/>
    <w:unhideWhenUsed/>
    <w:rsid w:val="001C26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6A1"/>
  </w:style>
  <w:style w:type="character" w:styleId="FollowedHyperlink">
    <w:name w:val="FollowedHyperlink"/>
    <w:basedOn w:val="DefaultParagraphFont"/>
    <w:uiPriority w:val="99"/>
    <w:semiHidden/>
    <w:unhideWhenUsed/>
    <w:rsid w:val="00430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055">
      <w:bodyDiv w:val="1"/>
      <w:marLeft w:val="0"/>
      <w:marRight w:val="0"/>
      <w:marTop w:val="0"/>
      <w:marBottom w:val="0"/>
      <w:divBdr>
        <w:top w:val="none" w:sz="0" w:space="0" w:color="auto"/>
        <w:left w:val="none" w:sz="0" w:space="0" w:color="auto"/>
        <w:bottom w:val="none" w:sz="0" w:space="0" w:color="auto"/>
        <w:right w:val="none" w:sz="0" w:space="0" w:color="auto"/>
      </w:divBdr>
    </w:div>
    <w:div w:id="14424705">
      <w:bodyDiv w:val="1"/>
      <w:marLeft w:val="0"/>
      <w:marRight w:val="0"/>
      <w:marTop w:val="0"/>
      <w:marBottom w:val="0"/>
      <w:divBdr>
        <w:top w:val="none" w:sz="0" w:space="0" w:color="auto"/>
        <w:left w:val="none" w:sz="0" w:space="0" w:color="auto"/>
        <w:bottom w:val="none" w:sz="0" w:space="0" w:color="auto"/>
        <w:right w:val="none" w:sz="0" w:space="0" w:color="auto"/>
      </w:divBdr>
    </w:div>
    <w:div w:id="218900684">
      <w:bodyDiv w:val="1"/>
      <w:marLeft w:val="0"/>
      <w:marRight w:val="0"/>
      <w:marTop w:val="0"/>
      <w:marBottom w:val="0"/>
      <w:divBdr>
        <w:top w:val="none" w:sz="0" w:space="0" w:color="auto"/>
        <w:left w:val="none" w:sz="0" w:space="0" w:color="auto"/>
        <w:bottom w:val="none" w:sz="0" w:space="0" w:color="auto"/>
        <w:right w:val="none" w:sz="0" w:space="0" w:color="auto"/>
      </w:divBdr>
    </w:div>
    <w:div w:id="278683529">
      <w:bodyDiv w:val="1"/>
      <w:marLeft w:val="0"/>
      <w:marRight w:val="0"/>
      <w:marTop w:val="0"/>
      <w:marBottom w:val="0"/>
      <w:divBdr>
        <w:top w:val="none" w:sz="0" w:space="0" w:color="auto"/>
        <w:left w:val="none" w:sz="0" w:space="0" w:color="auto"/>
        <w:bottom w:val="none" w:sz="0" w:space="0" w:color="auto"/>
        <w:right w:val="none" w:sz="0" w:space="0" w:color="auto"/>
      </w:divBdr>
    </w:div>
    <w:div w:id="899558350">
      <w:bodyDiv w:val="1"/>
      <w:marLeft w:val="0"/>
      <w:marRight w:val="0"/>
      <w:marTop w:val="0"/>
      <w:marBottom w:val="0"/>
      <w:divBdr>
        <w:top w:val="none" w:sz="0" w:space="0" w:color="auto"/>
        <w:left w:val="none" w:sz="0" w:space="0" w:color="auto"/>
        <w:bottom w:val="none" w:sz="0" w:space="0" w:color="auto"/>
        <w:right w:val="none" w:sz="0" w:space="0" w:color="auto"/>
      </w:divBdr>
    </w:div>
    <w:div w:id="1265187371">
      <w:bodyDiv w:val="1"/>
      <w:marLeft w:val="0"/>
      <w:marRight w:val="0"/>
      <w:marTop w:val="0"/>
      <w:marBottom w:val="0"/>
      <w:divBdr>
        <w:top w:val="none" w:sz="0" w:space="0" w:color="auto"/>
        <w:left w:val="none" w:sz="0" w:space="0" w:color="auto"/>
        <w:bottom w:val="none" w:sz="0" w:space="0" w:color="auto"/>
        <w:right w:val="none" w:sz="0" w:space="0" w:color="auto"/>
      </w:divBdr>
    </w:div>
    <w:div w:id="1546797853">
      <w:bodyDiv w:val="1"/>
      <w:marLeft w:val="0"/>
      <w:marRight w:val="0"/>
      <w:marTop w:val="0"/>
      <w:marBottom w:val="0"/>
      <w:divBdr>
        <w:top w:val="none" w:sz="0" w:space="0" w:color="auto"/>
        <w:left w:val="none" w:sz="0" w:space="0" w:color="auto"/>
        <w:bottom w:val="none" w:sz="0" w:space="0" w:color="auto"/>
        <w:right w:val="none" w:sz="0" w:space="0" w:color="auto"/>
      </w:divBdr>
    </w:div>
    <w:div w:id="1579900102">
      <w:bodyDiv w:val="1"/>
      <w:marLeft w:val="0"/>
      <w:marRight w:val="0"/>
      <w:marTop w:val="0"/>
      <w:marBottom w:val="0"/>
      <w:divBdr>
        <w:top w:val="none" w:sz="0" w:space="0" w:color="auto"/>
        <w:left w:val="none" w:sz="0" w:space="0" w:color="auto"/>
        <w:bottom w:val="none" w:sz="0" w:space="0" w:color="auto"/>
        <w:right w:val="none" w:sz="0" w:space="0" w:color="auto"/>
      </w:divBdr>
    </w:div>
    <w:div w:id="1655332402">
      <w:bodyDiv w:val="1"/>
      <w:marLeft w:val="0"/>
      <w:marRight w:val="0"/>
      <w:marTop w:val="0"/>
      <w:marBottom w:val="0"/>
      <w:divBdr>
        <w:top w:val="none" w:sz="0" w:space="0" w:color="auto"/>
        <w:left w:val="none" w:sz="0" w:space="0" w:color="auto"/>
        <w:bottom w:val="none" w:sz="0" w:space="0" w:color="auto"/>
        <w:right w:val="none" w:sz="0" w:space="0" w:color="auto"/>
      </w:divBdr>
    </w:div>
    <w:div w:id="1660226296">
      <w:bodyDiv w:val="1"/>
      <w:marLeft w:val="0"/>
      <w:marRight w:val="0"/>
      <w:marTop w:val="0"/>
      <w:marBottom w:val="0"/>
      <w:divBdr>
        <w:top w:val="none" w:sz="0" w:space="0" w:color="auto"/>
        <w:left w:val="none" w:sz="0" w:space="0" w:color="auto"/>
        <w:bottom w:val="none" w:sz="0" w:space="0" w:color="auto"/>
        <w:right w:val="none" w:sz="0" w:space="0" w:color="auto"/>
      </w:divBdr>
    </w:div>
    <w:div w:id="18933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deepanalysis.gr/prooptikes-apasxolishs-sthn-ellhnikh-oikonomia-mexri-to-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1999</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NONE</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Valsamis Dionysis</dc:creator>
  <cp:lastModifiedBy>Lida</cp:lastModifiedBy>
  <cp:revision>2</cp:revision>
  <dcterms:created xsi:type="dcterms:W3CDTF">2016-03-09T12:40:00Z</dcterms:created>
  <dcterms:modified xsi:type="dcterms:W3CDTF">2016-03-09T12:40:00Z</dcterms:modified>
</cp:coreProperties>
</file>